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E8F" w:rsidRPr="00D24DC6" w:rsidRDefault="00D00BAD" w:rsidP="009C2D0A">
      <w:pPr>
        <w:spacing w:after="0"/>
        <w:rPr>
          <w:rFonts w:ascii="Book Antiqua" w:hAnsi="Book Antiqua"/>
          <w:sz w:val="28"/>
          <w:szCs w:val="28"/>
        </w:rPr>
      </w:pPr>
      <w:bookmarkStart w:id="0" w:name="_GoBack"/>
      <w:bookmarkEnd w:id="0"/>
      <w:r>
        <w:rPr>
          <w:rFonts w:ascii="Book Antiqua" w:hAnsi="Book Antiqua"/>
          <w:sz w:val="28"/>
          <w:szCs w:val="28"/>
        </w:rPr>
        <w:t xml:space="preserve">UNIDO </w:t>
      </w:r>
      <w:r w:rsidR="00682E8F" w:rsidRPr="00D24DC6">
        <w:rPr>
          <w:rFonts w:ascii="Book Antiqua" w:hAnsi="Book Antiqua"/>
          <w:sz w:val="28"/>
          <w:szCs w:val="28"/>
        </w:rPr>
        <w:t xml:space="preserve">technical notes </w:t>
      </w:r>
      <w:r w:rsidR="009C2D0A">
        <w:rPr>
          <w:rFonts w:ascii="Book Antiqua" w:hAnsi="Book Antiqua"/>
          <w:sz w:val="28"/>
          <w:szCs w:val="28"/>
        </w:rPr>
        <w:t xml:space="preserve">(Meta data) </w:t>
      </w:r>
      <w:r w:rsidR="00682E8F" w:rsidRPr="00D24DC6">
        <w:rPr>
          <w:rFonts w:ascii="Book Antiqua" w:hAnsi="Book Antiqua"/>
          <w:sz w:val="28"/>
          <w:szCs w:val="28"/>
        </w:rPr>
        <w:t>on indicators for SDG Goal -9</w:t>
      </w:r>
    </w:p>
    <w:p w:rsidR="00F573E8" w:rsidRDefault="008446D3" w:rsidP="009C2D0A">
      <w:pPr>
        <w:spacing w:after="0"/>
        <w:rPr>
          <w:rFonts w:ascii="Book Antiqua" w:hAnsi="Book Antiqua"/>
        </w:rPr>
      </w:pPr>
      <w:r>
        <w:rPr>
          <w:rFonts w:ascii="Book Antiqua" w:hAnsi="Book Antiqua"/>
        </w:rPr>
        <w:t>(N</w:t>
      </w:r>
      <w:r w:rsidR="00B93231" w:rsidRPr="00D24DC6">
        <w:rPr>
          <w:rFonts w:ascii="Book Antiqua" w:hAnsi="Book Antiqua"/>
        </w:rPr>
        <w:t xml:space="preserve">otes are </w:t>
      </w:r>
      <w:r w:rsidR="009C2D0A">
        <w:rPr>
          <w:rFonts w:ascii="Book Antiqua" w:hAnsi="Book Antiqua"/>
        </w:rPr>
        <w:t>supplement to the</w:t>
      </w:r>
      <w:r w:rsidR="00B93231" w:rsidRPr="00D24DC6">
        <w:rPr>
          <w:rFonts w:ascii="Book Antiqua" w:hAnsi="Book Antiqua"/>
        </w:rPr>
        <w:t xml:space="preserve"> list of indicators given in UNSD template</w:t>
      </w:r>
      <w:r w:rsidR="009C2D0A">
        <w:rPr>
          <w:rFonts w:ascii="Book Antiqua" w:hAnsi="Book Antiqua"/>
        </w:rPr>
        <w:t xml:space="preserve"> for technical input)</w:t>
      </w:r>
    </w:p>
    <w:p w:rsidR="00F573E8" w:rsidRDefault="00F573E8">
      <w:pPr>
        <w:rPr>
          <w:rFonts w:ascii="Book Antiqua" w:hAnsi="Book Antiqua"/>
        </w:rPr>
      </w:pPr>
    </w:p>
    <w:p w:rsidR="00B93231" w:rsidRPr="00F573E8" w:rsidRDefault="00F573E8" w:rsidP="009C2D0A">
      <w:pPr>
        <w:spacing w:after="0" w:line="240" w:lineRule="auto"/>
        <w:ind w:left="1440" w:hanging="1440"/>
        <w:rPr>
          <w:rFonts w:ascii="Book Antiqua" w:hAnsi="Book Antiqua"/>
          <w:b/>
        </w:rPr>
      </w:pPr>
      <w:r w:rsidRPr="00F573E8">
        <w:rPr>
          <w:rFonts w:ascii="Book Antiqua" w:hAnsi="Book Antiqua"/>
          <w:b/>
        </w:rPr>
        <w:t xml:space="preserve">SDG 9: </w:t>
      </w:r>
      <w:r w:rsidR="009C2D0A">
        <w:rPr>
          <w:rFonts w:ascii="Book Antiqua" w:hAnsi="Book Antiqua"/>
          <w:b/>
        </w:rPr>
        <w:tab/>
      </w:r>
      <w:r w:rsidR="00B93231" w:rsidRPr="00F573E8">
        <w:rPr>
          <w:rFonts w:ascii="Book Antiqua" w:hAnsi="Book Antiqua"/>
          <w:b/>
        </w:rPr>
        <w:t>Build resilient infrastructure, promote inclusive and sustainable</w:t>
      </w:r>
      <w:r w:rsidR="009C2D0A">
        <w:rPr>
          <w:rFonts w:ascii="Book Antiqua" w:hAnsi="Book Antiqua"/>
          <w:b/>
        </w:rPr>
        <w:t xml:space="preserve"> </w:t>
      </w:r>
      <w:r w:rsidR="00B93231" w:rsidRPr="00F573E8">
        <w:rPr>
          <w:rFonts w:ascii="Book Antiqua" w:hAnsi="Book Antiqua"/>
          <w:b/>
        </w:rPr>
        <w:t>industrialization</w:t>
      </w:r>
      <w:r w:rsidR="009C2D0A">
        <w:rPr>
          <w:rFonts w:ascii="Book Antiqua" w:hAnsi="Book Antiqua"/>
          <w:b/>
        </w:rPr>
        <w:t xml:space="preserve"> </w:t>
      </w:r>
      <w:r w:rsidR="00B93231" w:rsidRPr="00F573E8">
        <w:rPr>
          <w:rFonts w:ascii="Book Antiqua" w:hAnsi="Book Antiqua"/>
          <w:b/>
        </w:rPr>
        <w:t xml:space="preserve">and foster innovation </w:t>
      </w:r>
    </w:p>
    <w:p w:rsidR="00B93231" w:rsidRPr="00D24DC6" w:rsidRDefault="00B93231">
      <w:pPr>
        <w:rPr>
          <w:rFonts w:ascii="Book Antiqua" w:hAnsi="Book Antiqua"/>
        </w:rPr>
      </w:pPr>
    </w:p>
    <w:p w:rsidR="00B93231" w:rsidRPr="009C2D0A" w:rsidRDefault="00B93231">
      <w:pPr>
        <w:rPr>
          <w:rFonts w:ascii="Book Antiqua" w:hAnsi="Book Antiqua"/>
          <w:b/>
        </w:rPr>
      </w:pPr>
      <w:r w:rsidRPr="009C2D0A">
        <w:rPr>
          <w:rFonts w:ascii="Book Antiqua" w:hAnsi="Book Antiqua"/>
          <w:b/>
        </w:rPr>
        <w:t xml:space="preserve">General </w:t>
      </w:r>
      <w:r w:rsidR="00D24DC6" w:rsidRPr="009C2D0A">
        <w:rPr>
          <w:rFonts w:ascii="Book Antiqua" w:hAnsi="Book Antiqua"/>
          <w:b/>
        </w:rPr>
        <w:t>remarks</w:t>
      </w:r>
    </w:p>
    <w:p w:rsidR="00B93231" w:rsidRPr="00D24DC6" w:rsidRDefault="00B93231" w:rsidP="00B93231">
      <w:pPr>
        <w:pStyle w:val="ListParagraph"/>
        <w:numPr>
          <w:ilvl w:val="0"/>
          <w:numId w:val="2"/>
        </w:numPr>
        <w:rPr>
          <w:rFonts w:ascii="Book Antiqua" w:hAnsi="Book Antiqua"/>
        </w:rPr>
      </w:pPr>
      <w:r w:rsidRPr="00D24DC6">
        <w:rPr>
          <w:rFonts w:ascii="Book Antiqua" w:hAnsi="Book Antiqua"/>
        </w:rPr>
        <w:t xml:space="preserve">UNIDO </w:t>
      </w:r>
      <w:r w:rsidR="00B27B1F">
        <w:rPr>
          <w:rFonts w:ascii="Book Antiqua" w:hAnsi="Book Antiqua"/>
        </w:rPr>
        <w:t xml:space="preserve">is providing the complete information for all indicators of </w:t>
      </w:r>
      <w:r w:rsidRPr="00D24DC6">
        <w:rPr>
          <w:rFonts w:ascii="Book Antiqua" w:hAnsi="Book Antiqua"/>
        </w:rPr>
        <w:t xml:space="preserve">SDG 9 </w:t>
      </w:r>
      <w:r w:rsidR="00B27B1F">
        <w:rPr>
          <w:rFonts w:ascii="Book Antiqua" w:hAnsi="Book Antiqua"/>
        </w:rPr>
        <w:t>including those from other</w:t>
      </w:r>
      <w:r w:rsidRPr="00D24DC6">
        <w:rPr>
          <w:rFonts w:ascii="Book Antiqua" w:hAnsi="Book Antiqua"/>
        </w:rPr>
        <w:t xml:space="preserve"> agenc</w:t>
      </w:r>
      <w:r w:rsidR="00B27B1F">
        <w:rPr>
          <w:rFonts w:ascii="Book Antiqua" w:hAnsi="Book Antiqua"/>
        </w:rPr>
        <w:t>ies</w:t>
      </w:r>
      <w:r w:rsidRPr="00D24DC6">
        <w:rPr>
          <w:rFonts w:ascii="Book Antiqua" w:hAnsi="Book Antiqua"/>
        </w:rPr>
        <w:t xml:space="preserve">, </w:t>
      </w:r>
      <w:r w:rsidR="00F573E8">
        <w:rPr>
          <w:rFonts w:ascii="Book Antiqua" w:hAnsi="Book Antiqua"/>
        </w:rPr>
        <w:t xml:space="preserve">namely </w:t>
      </w:r>
      <w:r w:rsidRPr="00D24DC6">
        <w:rPr>
          <w:rFonts w:ascii="Book Antiqua" w:hAnsi="Book Antiqua"/>
        </w:rPr>
        <w:t>ITU, UNESCO</w:t>
      </w:r>
      <w:r w:rsidR="00D24DC6" w:rsidRPr="00D24DC6">
        <w:rPr>
          <w:rFonts w:ascii="Book Antiqua" w:hAnsi="Book Antiqua"/>
        </w:rPr>
        <w:t xml:space="preserve"> Institute of Statistics</w:t>
      </w:r>
      <w:r w:rsidR="00B27B1F">
        <w:rPr>
          <w:rFonts w:ascii="Book Antiqua" w:hAnsi="Book Antiqua"/>
        </w:rPr>
        <w:t xml:space="preserve">, who have interest and responsibility for international reporting. </w:t>
      </w:r>
      <w:r w:rsidR="009C2D0A">
        <w:rPr>
          <w:rFonts w:ascii="Book Antiqua" w:hAnsi="Book Antiqua"/>
        </w:rPr>
        <w:t>For a number of indicators t</w:t>
      </w:r>
      <w:r w:rsidR="00D24DC6" w:rsidRPr="00D24DC6">
        <w:rPr>
          <w:rFonts w:ascii="Book Antiqua" w:hAnsi="Book Antiqua"/>
        </w:rPr>
        <w:t>he World Bank</w:t>
      </w:r>
      <w:r w:rsidR="00F573E8">
        <w:rPr>
          <w:rFonts w:ascii="Book Antiqua" w:hAnsi="Book Antiqua"/>
        </w:rPr>
        <w:t xml:space="preserve">, ILO </w:t>
      </w:r>
      <w:r w:rsidR="00D24DC6" w:rsidRPr="00D24DC6">
        <w:rPr>
          <w:rFonts w:ascii="Book Antiqua" w:hAnsi="Book Antiqua"/>
        </w:rPr>
        <w:t>and UNCTAT were also consulted.</w:t>
      </w:r>
      <w:r w:rsidRPr="00D24DC6">
        <w:rPr>
          <w:rFonts w:ascii="Book Antiqua" w:hAnsi="Book Antiqua"/>
        </w:rPr>
        <w:t xml:space="preserve"> Name of the agencies, whenever appropriate </w:t>
      </w:r>
      <w:r w:rsidR="00D24DC6" w:rsidRPr="00D24DC6">
        <w:rPr>
          <w:rFonts w:ascii="Book Antiqua" w:hAnsi="Book Antiqua"/>
        </w:rPr>
        <w:t>is mentioned in the template.</w:t>
      </w:r>
      <w:r w:rsidRPr="00D24DC6">
        <w:rPr>
          <w:rFonts w:ascii="Book Antiqua" w:hAnsi="Book Antiqua"/>
        </w:rPr>
        <w:t xml:space="preserve"> </w:t>
      </w:r>
    </w:p>
    <w:p w:rsidR="00B93231" w:rsidRPr="00D24DC6" w:rsidRDefault="00B93231" w:rsidP="00B93231">
      <w:pPr>
        <w:pStyle w:val="ListParagraph"/>
        <w:rPr>
          <w:rFonts w:ascii="Book Antiqua" w:hAnsi="Book Antiqua"/>
        </w:rPr>
      </w:pPr>
    </w:p>
    <w:p w:rsidR="00F573E8" w:rsidRDefault="00B93231" w:rsidP="00B93231">
      <w:pPr>
        <w:pStyle w:val="ListParagraph"/>
        <w:numPr>
          <w:ilvl w:val="0"/>
          <w:numId w:val="2"/>
        </w:numPr>
        <w:rPr>
          <w:rFonts w:ascii="Book Antiqua" w:hAnsi="Book Antiqua"/>
        </w:rPr>
      </w:pPr>
      <w:r w:rsidRPr="00D24DC6">
        <w:rPr>
          <w:rFonts w:ascii="Book Antiqua" w:hAnsi="Book Antiqua"/>
        </w:rPr>
        <w:t xml:space="preserve">Gender disaggregation </w:t>
      </w:r>
      <w:r w:rsidR="00F573E8">
        <w:rPr>
          <w:rFonts w:ascii="Book Antiqua" w:hAnsi="Book Antiqua"/>
        </w:rPr>
        <w:t xml:space="preserve">whenever </w:t>
      </w:r>
      <w:r w:rsidRPr="00D24DC6">
        <w:rPr>
          <w:rFonts w:ascii="Book Antiqua" w:hAnsi="Book Antiqua"/>
        </w:rPr>
        <w:t xml:space="preserve">applicable </w:t>
      </w:r>
      <w:r w:rsidR="00F573E8">
        <w:rPr>
          <w:rFonts w:ascii="Book Antiqua" w:hAnsi="Book Antiqua"/>
        </w:rPr>
        <w:t>is mentioned under data availability</w:t>
      </w:r>
    </w:p>
    <w:p w:rsidR="00F573E8" w:rsidRPr="00F573E8" w:rsidRDefault="00F573E8" w:rsidP="00F573E8">
      <w:pPr>
        <w:pStyle w:val="ListParagraph"/>
        <w:rPr>
          <w:rFonts w:ascii="Book Antiqua" w:hAnsi="Book Antiqua"/>
        </w:rPr>
      </w:pPr>
    </w:p>
    <w:p w:rsidR="007A1D4A" w:rsidRPr="00D24DC6" w:rsidRDefault="007A1D4A" w:rsidP="00B93231">
      <w:pPr>
        <w:pStyle w:val="ListParagraph"/>
        <w:numPr>
          <w:ilvl w:val="0"/>
          <w:numId w:val="2"/>
        </w:numPr>
        <w:rPr>
          <w:rFonts w:ascii="Book Antiqua" w:hAnsi="Book Antiqua"/>
        </w:rPr>
      </w:pPr>
      <w:r w:rsidRPr="00D24DC6">
        <w:rPr>
          <w:rFonts w:ascii="Book Antiqua" w:hAnsi="Book Antiqua"/>
        </w:rPr>
        <w:t xml:space="preserve">Production, employment and environment related  indicators (9.2.1, 9.2.2, 9.3.1, 9.4.1 and 9.4.2 can also be disaggregated by industry (ISIC) </w:t>
      </w:r>
    </w:p>
    <w:p w:rsidR="007A1D4A" w:rsidRPr="00D24DC6" w:rsidRDefault="007A1D4A" w:rsidP="007A1D4A">
      <w:pPr>
        <w:pStyle w:val="ListParagraph"/>
        <w:rPr>
          <w:rFonts w:ascii="Book Antiqua" w:hAnsi="Book Antiqua"/>
        </w:rPr>
      </w:pPr>
    </w:p>
    <w:p w:rsidR="007A1D4A" w:rsidRPr="00D24DC6" w:rsidRDefault="007A1D4A" w:rsidP="00B93231">
      <w:pPr>
        <w:pStyle w:val="ListParagraph"/>
        <w:numPr>
          <w:ilvl w:val="0"/>
          <w:numId w:val="2"/>
        </w:numPr>
        <w:rPr>
          <w:rFonts w:ascii="Book Antiqua" w:hAnsi="Book Antiqua"/>
        </w:rPr>
      </w:pPr>
      <w:r w:rsidRPr="00D24DC6">
        <w:rPr>
          <w:rFonts w:ascii="Book Antiqua" w:hAnsi="Book Antiqua"/>
        </w:rPr>
        <w:t>Most of the indicators refer to national indicators so they can be aggregated to country groups such as industrialized and developing countries, LDCs, LLDCs and sub-Saharan African countries.</w:t>
      </w:r>
    </w:p>
    <w:p w:rsidR="007A1D4A" w:rsidRPr="00D24DC6" w:rsidRDefault="007A1D4A" w:rsidP="007A1D4A">
      <w:pPr>
        <w:pStyle w:val="ListParagraph"/>
        <w:rPr>
          <w:rFonts w:ascii="Book Antiqua" w:hAnsi="Book Antiqua"/>
        </w:rPr>
      </w:pPr>
    </w:p>
    <w:p w:rsidR="007A1D4A" w:rsidRPr="00D24DC6" w:rsidRDefault="007A1D4A" w:rsidP="00B93231">
      <w:pPr>
        <w:pStyle w:val="ListParagraph"/>
        <w:numPr>
          <w:ilvl w:val="0"/>
          <w:numId w:val="2"/>
        </w:numPr>
        <w:rPr>
          <w:rFonts w:ascii="Book Antiqua" w:hAnsi="Book Antiqua"/>
        </w:rPr>
      </w:pPr>
      <w:r w:rsidRPr="00D24DC6">
        <w:rPr>
          <w:rFonts w:ascii="Book Antiqua" w:hAnsi="Book Antiqua"/>
        </w:rPr>
        <w:t>The main source of data are NSOs</w:t>
      </w:r>
      <w:r w:rsidR="00F573E8">
        <w:rPr>
          <w:rFonts w:ascii="Book Antiqua" w:hAnsi="Book Antiqua"/>
        </w:rPr>
        <w:t xml:space="preserve"> or related line ministries</w:t>
      </w:r>
      <w:r w:rsidRPr="00D24DC6">
        <w:rPr>
          <w:rFonts w:ascii="Book Antiqua" w:hAnsi="Book Antiqua"/>
        </w:rPr>
        <w:t xml:space="preserve">. In </w:t>
      </w:r>
      <w:r w:rsidR="00F573E8">
        <w:rPr>
          <w:rFonts w:ascii="Book Antiqua" w:hAnsi="Book Antiqua"/>
        </w:rPr>
        <w:t xml:space="preserve">most cases </w:t>
      </w:r>
      <w:r w:rsidRPr="00D24DC6">
        <w:rPr>
          <w:rFonts w:ascii="Book Antiqua" w:hAnsi="Book Antiqua"/>
        </w:rPr>
        <w:t>these data are internationally reported. Others are available from the survey results in countries. Comments in this regard are made whenever possible.</w:t>
      </w:r>
    </w:p>
    <w:p w:rsidR="007A1D4A" w:rsidRPr="00D24DC6" w:rsidRDefault="007A1D4A" w:rsidP="007A1D4A">
      <w:pPr>
        <w:pStyle w:val="ListParagraph"/>
        <w:rPr>
          <w:rFonts w:ascii="Book Antiqua" w:hAnsi="Book Antiqua"/>
        </w:rPr>
      </w:pPr>
    </w:p>
    <w:p w:rsidR="00D00BAD" w:rsidRDefault="00D00BAD">
      <w:pPr>
        <w:rPr>
          <w:rFonts w:ascii="Book Antiqua" w:hAnsi="Book Antiqua"/>
          <w:sz w:val="24"/>
          <w:szCs w:val="24"/>
        </w:rPr>
      </w:pPr>
      <w:r>
        <w:rPr>
          <w:rFonts w:ascii="Book Antiqua" w:hAnsi="Book Antiqua"/>
          <w:sz w:val="24"/>
          <w:szCs w:val="24"/>
        </w:rPr>
        <w:t xml:space="preserve">Further information on UNIDO databases is available at </w:t>
      </w:r>
      <w:hyperlink r:id="rId9" w:history="1">
        <w:r w:rsidR="00B27B1F" w:rsidRPr="00690E8B">
          <w:rPr>
            <w:rStyle w:val="Hyperlink"/>
            <w:rFonts w:ascii="Book Antiqua" w:hAnsi="Book Antiqua"/>
            <w:sz w:val="24"/>
            <w:szCs w:val="24"/>
          </w:rPr>
          <w:t>http://www.unido.org/en/resources/statistics/statistical-databases.html</w:t>
        </w:r>
      </w:hyperlink>
    </w:p>
    <w:p w:rsidR="00B27B1F" w:rsidRDefault="009A02D5">
      <w:pPr>
        <w:rPr>
          <w:rFonts w:ascii="Book Antiqua" w:hAnsi="Book Antiqua"/>
          <w:sz w:val="24"/>
          <w:szCs w:val="24"/>
        </w:rPr>
      </w:pPr>
      <w:hyperlink r:id="rId10" w:history="1">
        <w:r w:rsidR="00B27B1F" w:rsidRPr="00690E8B">
          <w:rPr>
            <w:rStyle w:val="Hyperlink"/>
            <w:rFonts w:ascii="Book Antiqua" w:hAnsi="Book Antiqua"/>
            <w:sz w:val="24"/>
            <w:szCs w:val="24"/>
          </w:rPr>
          <w:t>http://stat.unido.org/</w:t>
        </w:r>
      </w:hyperlink>
    </w:p>
    <w:p w:rsidR="009C2D0A" w:rsidRDefault="009C2D0A" w:rsidP="009C2D0A">
      <w:pPr>
        <w:rPr>
          <w:rFonts w:ascii="Book Antiqua" w:hAnsi="Book Antiqua"/>
          <w:sz w:val="24"/>
          <w:szCs w:val="24"/>
        </w:rPr>
      </w:pPr>
      <w:r w:rsidRPr="00D24DC6">
        <w:rPr>
          <w:rFonts w:ascii="Book Antiqua" w:hAnsi="Book Antiqua"/>
          <w:sz w:val="24"/>
          <w:szCs w:val="24"/>
        </w:rPr>
        <w:t>Other information as required by Instructions is pre</w:t>
      </w:r>
      <w:r>
        <w:rPr>
          <w:rFonts w:ascii="Book Antiqua" w:hAnsi="Book Antiqua"/>
          <w:sz w:val="24"/>
          <w:szCs w:val="24"/>
        </w:rPr>
        <w:t>sented below for each indicator.</w:t>
      </w:r>
    </w:p>
    <w:p w:rsidR="00D00BAD" w:rsidRDefault="00D00BAD">
      <w:pPr>
        <w:rPr>
          <w:rFonts w:ascii="Book Antiqua" w:hAnsi="Book Antiqua"/>
          <w:sz w:val="24"/>
          <w:szCs w:val="24"/>
        </w:rPr>
      </w:pPr>
    </w:p>
    <w:p w:rsidR="00D00BAD" w:rsidRPr="00D24DC6" w:rsidRDefault="00D00BAD">
      <w:pPr>
        <w:rPr>
          <w:rFonts w:ascii="Book Antiqua" w:hAnsi="Book Antiqua"/>
          <w:sz w:val="24"/>
          <w:szCs w:val="24"/>
        </w:rPr>
        <w:sectPr w:rsidR="00D00BAD" w:rsidRPr="00D24DC6" w:rsidSect="00D24DC6">
          <w:pgSz w:w="12240" w:h="15840"/>
          <w:pgMar w:top="1440" w:right="1350" w:bottom="1440" w:left="1440" w:header="720" w:footer="720" w:gutter="0"/>
          <w:cols w:space="720"/>
          <w:docGrid w:linePitch="360"/>
        </w:sectPr>
      </w:pPr>
    </w:p>
    <w:p w:rsidR="001A11E2" w:rsidRPr="00D24DC6" w:rsidRDefault="001A11E2" w:rsidP="001A11E2">
      <w:pPr>
        <w:spacing w:before="120" w:after="120"/>
        <w:jc w:val="center"/>
        <w:rPr>
          <w:rFonts w:ascii="Book Antiqua" w:hAnsi="Book Antiqua"/>
          <w:b/>
          <w:sz w:val="24"/>
          <w:szCs w:val="24"/>
        </w:rPr>
      </w:pPr>
      <w:r w:rsidRPr="00D24DC6">
        <w:rPr>
          <w:rFonts w:ascii="Book Antiqua" w:hAnsi="Book Antiqua"/>
          <w:b/>
          <w:sz w:val="24"/>
          <w:szCs w:val="24"/>
        </w:rPr>
        <w:lastRenderedPageBreak/>
        <w:t xml:space="preserve">Technical details of </w:t>
      </w:r>
      <w:r w:rsidR="006A42D6">
        <w:rPr>
          <w:rFonts w:ascii="Book Antiqua" w:hAnsi="Book Antiqua"/>
          <w:b/>
          <w:sz w:val="24"/>
          <w:szCs w:val="24"/>
        </w:rPr>
        <w:t xml:space="preserve">proposed </w:t>
      </w:r>
      <w:r w:rsidRPr="00D24DC6">
        <w:rPr>
          <w:rFonts w:ascii="Book Antiqua" w:hAnsi="Book Antiqua"/>
          <w:b/>
          <w:sz w:val="24"/>
          <w:szCs w:val="24"/>
        </w:rPr>
        <w:t>indicators under SDG-9</w:t>
      </w:r>
    </w:p>
    <w:tbl>
      <w:tblPr>
        <w:tblStyle w:val="TableGrid"/>
        <w:tblW w:w="13320" w:type="dxa"/>
        <w:tblInd w:w="-72" w:type="dxa"/>
        <w:tblLayout w:type="fixed"/>
        <w:tblLook w:val="04A0" w:firstRow="1" w:lastRow="0" w:firstColumn="1" w:lastColumn="0" w:noHBand="0" w:noVBand="1"/>
      </w:tblPr>
      <w:tblGrid>
        <w:gridCol w:w="720"/>
        <w:gridCol w:w="2250"/>
        <w:gridCol w:w="4050"/>
        <w:gridCol w:w="2700"/>
        <w:gridCol w:w="3600"/>
      </w:tblGrid>
      <w:tr w:rsidR="005028A8" w:rsidRPr="00D24DC6" w:rsidTr="00D00BAD">
        <w:tc>
          <w:tcPr>
            <w:tcW w:w="2970" w:type="dxa"/>
            <w:gridSpan w:val="2"/>
            <w:tcBorders>
              <w:bottom w:val="double" w:sz="4" w:space="0" w:color="auto"/>
            </w:tcBorders>
          </w:tcPr>
          <w:p w:rsidR="008446D3" w:rsidRPr="008446D3" w:rsidRDefault="006A42D6" w:rsidP="006A42D6">
            <w:pPr>
              <w:spacing w:before="120" w:after="120"/>
              <w:jc w:val="center"/>
              <w:rPr>
                <w:rFonts w:ascii="Book Antiqua" w:hAnsi="Book Antiqua"/>
                <w:b/>
                <w:sz w:val="24"/>
                <w:szCs w:val="24"/>
              </w:rPr>
            </w:pPr>
            <w:r>
              <w:rPr>
                <w:rFonts w:ascii="Book Antiqua" w:hAnsi="Book Antiqua"/>
                <w:b/>
                <w:sz w:val="24"/>
                <w:szCs w:val="24"/>
              </w:rPr>
              <w:t>Proposed i</w:t>
            </w:r>
            <w:r w:rsidR="005028A8" w:rsidRPr="00D24DC6">
              <w:rPr>
                <w:rFonts w:ascii="Book Antiqua" w:hAnsi="Book Antiqua"/>
                <w:b/>
                <w:sz w:val="24"/>
                <w:szCs w:val="24"/>
              </w:rPr>
              <w:t>ndicator</w:t>
            </w:r>
            <w:r>
              <w:rPr>
                <w:rFonts w:ascii="Book Antiqua" w:hAnsi="Book Antiqua"/>
                <w:b/>
                <w:sz w:val="24"/>
                <w:szCs w:val="24"/>
              </w:rPr>
              <w:t>s</w:t>
            </w:r>
            <w:r w:rsidR="008446D3">
              <w:rPr>
                <w:rStyle w:val="FootnoteReference"/>
                <w:rFonts w:ascii="Book Antiqua" w:hAnsi="Book Antiqua"/>
                <w:b/>
                <w:sz w:val="24"/>
                <w:szCs w:val="24"/>
              </w:rPr>
              <w:footnoteReference w:id="1"/>
            </w:r>
            <w:r w:rsidR="008446D3">
              <w:rPr>
                <w:rFonts w:ascii="Book Antiqua" w:hAnsi="Book Antiqua"/>
                <w:b/>
                <w:sz w:val="24"/>
                <w:szCs w:val="24"/>
              </w:rPr>
              <w:t xml:space="preserve"> </w:t>
            </w:r>
          </w:p>
        </w:tc>
        <w:tc>
          <w:tcPr>
            <w:tcW w:w="4050" w:type="dxa"/>
            <w:tcBorders>
              <w:bottom w:val="double" w:sz="4" w:space="0" w:color="auto"/>
            </w:tcBorders>
          </w:tcPr>
          <w:p w:rsidR="005028A8" w:rsidRPr="00D24DC6" w:rsidRDefault="005028A8" w:rsidP="00DC41DA">
            <w:pPr>
              <w:spacing w:before="120" w:after="120"/>
              <w:jc w:val="center"/>
              <w:rPr>
                <w:rFonts w:ascii="Book Antiqua" w:hAnsi="Book Antiqua"/>
                <w:b/>
                <w:sz w:val="24"/>
                <w:szCs w:val="24"/>
              </w:rPr>
            </w:pPr>
            <w:r w:rsidRPr="00D24DC6">
              <w:rPr>
                <w:rFonts w:ascii="Book Antiqua" w:hAnsi="Book Antiqua"/>
                <w:b/>
                <w:sz w:val="24"/>
                <w:szCs w:val="24"/>
              </w:rPr>
              <w:t>Rationale</w:t>
            </w:r>
          </w:p>
        </w:tc>
        <w:tc>
          <w:tcPr>
            <w:tcW w:w="2700" w:type="dxa"/>
            <w:tcBorders>
              <w:bottom w:val="double" w:sz="4" w:space="0" w:color="auto"/>
            </w:tcBorders>
          </w:tcPr>
          <w:p w:rsidR="005028A8" w:rsidRPr="00D24DC6" w:rsidRDefault="005028A8" w:rsidP="00DC41DA">
            <w:pPr>
              <w:spacing w:before="120" w:after="120"/>
              <w:jc w:val="center"/>
              <w:rPr>
                <w:rFonts w:ascii="Book Antiqua" w:hAnsi="Book Antiqua"/>
                <w:b/>
                <w:sz w:val="24"/>
                <w:szCs w:val="24"/>
              </w:rPr>
            </w:pPr>
            <w:r w:rsidRPr="00D24DC6">
              <w:rPr>
                <w:rFonts w:ascii="Book Antiqua" w:hAnsi="Book Antiqua"/>
                <w:b/>
                <w:sz w:val="24"/>
                <w:szCs w:val="24"/>
              </w:rPr>
              <w:t>Calculation method</w:t>
            </w:r>
          </w:p>
        </w:tc>
        <w:tc>
          <w:tcPr>
            <w:tcW w:w="3600" w:type="dxa"/>
            <w:tcBorders>
              <w:bottom w:val="double" w:sz="4" w:space="0" w:color="auto"/>
            </w:tcBorders>
          </w:tcPr>
          <w:p w:rsidR="005028A8" w:rsidRPr="00D24DC6" w:rsidRDefault="005028A8" w:rsidP="00DC41DA">
            <w:pPr>
              <w:spacing w:before="120" w:after="120"/>
              <w:jc w:val="center"/>
              <w:rPr>
                <w:rFonts w:ascii="Book Antiqua" w:hAnsi="Book Antiqua"/>
                <w:b/>
                <w:sz w:val="24"/>
                <w:szCs w:val="24"/>
              </w:rPr>
            </w:pPr>
            <w:r w:rsidRPr="00D24DC6">
              <w:rPr>
                <w:rFonts w:ascii="Book Antiqua" w:hAnsi="Book Antiqua"/>
                <w:b/>
                <w:sz w:val="24"/>
                <w:szCs w:val="24"/>
              </w:rPr>
              <w:t>Data availability</w:t>
            </w:r>
          </w:p>
        </w:tc>
      </w:tr>
      <w:tr w:rsidR="00F573E8" w:rsidRPr="00D24DC6" w:rsidTr="00D00BAD">
        <w:trPr>
          <w:trHeight w:val="1140"/>
        </w:trPr>
        <w:tc>
          <w:tcPr>
            <w:tcW w:w="720" w:type="dxa"/>
            <w:tcBorders>
              <w:top w:val="double" w:sz="4" w:space="0" w:color="auto"/>
            </w:tcBorders>
          </w:tcPr>
          <w:p w:rsidR="00F573E8" w:rsidRPr="00D24DC6" w:rsidRDefault="00F573E8" w:rsidP="001A11E2">
            <w:pPr>
              <w:spacing w:before="120" w:after="120"/>
              <w:jc w:val="center"/>
              <w:rPr>
                <w:rFonts w:ascii="Book Antiqua" w:hAnsi="Book Antiqua"/>
                <w:b/>
                <w:sz w:val="20"/>
                <w:szCs w:val="20"/>
              </w:rPr>
            </w:pPr>
            <w:r w:rsidRPr="00D24DC6">
              <w:rPr>
                <w:rFonts w:ascii="Book Antiqua" w:hAnsi="Book Antiqua"/>
                <w:b/>
                <w:sz w:val="20"/>
                <w:szCs w:val="20"/>
              </w:rPr>
              <w:t>9.1.1</w:t>
            </w:r>
          </w:p>
        </w:tc>
        <w:tc>
          <w:tcPr>
            <w:tcW w:w="2250" w:type="dxa"/>
            <w:tcBorders>
              <w:top w:val="double" w:sz="4" w:space="0" w:color="auto"/>
            </w:tcBorders>
          </w:tcPr>
          <w:p w:rsidR="00F573E8" w:rsidRPr="00D24DC6" w:rsidRDefault="00F573E8" w:rsidP="00D00BAD">
            <w:pPr>
              <w:rPr>
                <w:rFonts w:ascii="Book Antiqua" w:hAnsi="Book Antiqua"/>
                <w:sz w:val="20"/>
                <w:szCs w:val="20"/>
              </w:rPr>
            </w:pPr>
            <w:r w:rsidRPr="005028A8">
              <w:rPr>
                <w:rFonts w:ascii="Book Antiqua" w:hAnsi="Book Antiqua"/>
                <w:color w:val="000000" w:themeColor="text1"/>
                <w:sz w:val="20"/>
                <w:szCs w:val="20"/>
              </w:rPr>
              <w:t>Proportion of households with broadband Internet access, by urban/rural</w:t>
            </w:r>
          </w:p>
        </w:tc>
        <w:tc>
          <w:tcPr>
            <w:tcW w:w="10350" w:type="dxa"/>
            <w:gridSpan w:val="3"/>
            <w:tcBorders>
              <w:top w:val="double" w:sz="4" w:space="0" w:color="auto"/>
            </w:tcBorders>
          </w:tcPr>
          <w:p w:rsidR="00F573E8" w:rsidRPr="00F573E8" w:rsidRDefault="00F573E8" w:rsidP="00F573E8">
            <w:pPr>
              <w:spacing w:before="120" w:after="120"/>
              <w:jc w:val="center"/>
              <w:rPr>
                <w:rFonts w:ascii="Book Antiqua" w:hAnsi="Book Antiqua"/>
                <w:b/>
                <w:sz w:val="18"/>
                <w:szCs w:val="18"/>
              </w:rPr>
            </w:pPr>
            <w:r w:rsidRPr="00F573E8">
              <w:rPr>
                <w:rFonts w:ascii="Book Antiqua" w:hAnsi="Book Antiqua"/>
                <w:b/>
                <w:sz w:val="18"/>
                <w:szCs w:val="18"/>
              </w:rPr>
              <w:t>See ITU Notes provided separately.</w:t>
            </w:r>
          </w:p>
        </w:tc>
      </w:tr>
      <w:tr w:rsidR="005028A8" w:rsidRPr="00D24DC6" w:rsidTr="00D00BAD">
        <w:trPr>
          <w:trHeight w:val="890"/>
        </w:trPr>
        <w:tc>
          <w:tcPr>
            <w:tcW w:w="720" w:type="dxa"/>
            <w:tcBorders>
              <w:bottom w:val="double" w:sz="4" w:space="0" w:color="auto"/>
            </w:tcBorders>
          </w:tcPr>
          <w:p w:rsidR="005028A8" w:rsidRPr="00D24DC6" w:rsidRDefault="005028A8" w:rsidP="00D00BAD">
            <w:pPr>
              <w:spacing w:before="120"/>
              <w:jc w:val="center"/>
              <w:rPr>
                <w:rFonts w:ascii="Book Antiqua" w:hAnsi="Book Antiqua"/>
                <w:b/>
                <w:sz w:val="20"/>
                <w:szCs w:val="20"/>
              </w:rPr>
            </w:pPr>
            <w:r w:rsidRPr="00D24DC6">
              <w:rPr>
                <w:rFonts w:ascii="Book Antiqua" w:hAnsi="Book Antiqua"/>
                <w:b/>
                <w:sz w:val="20"/>
                <w:szCs w:val="20"/>
              </w:rPr>
              <w:t>9.1.2</w:t>
            </w:r>
          </w:p>
        </w:tc>
        <w:tc>
          <w:tcPr>
            <w:tcW w:w="2250" w:type="dxa"/>
            <w:tcBorders>
              <w:bottom w:val="double" w:sz="4" w:space="0" w:color="auto"/>
            </w:tcBorders>
          </w:tcPr>
          <w:p w:rsidR="005028A8" w:rsidRPr="00D24DC6" w:rsidRDefault="005028A8" w:rsidP="00D00BAD">
            <w:pPr>
              <w:spacing w:before="120"/>
              <w:rPr>
                <w:rFonts w:ascii="Book Antiqua" w:hAnsi="Book Antiqua"/>
                <w:sz w:val="20"/>
                <w:szCs w:val="20"/>
              </w:rPr>
            </w:pPr>
            <w:r w:rsidRPr="00D24DC6">
              <w:rPr>
                <w:rFonts w:ascii="Book Antiqua" w:hAnsi="Book Antiqua"/>
                <w:sz w:val="20"/>
                <w:szCs w:val="20"/>
              </w:rPr>
              <w:t>Percentage of paved road to total</w:t>
            </w:r>
          </w:p>
        </w:tc>
        <w:tc>
          <w:tcPr>
            <w:tcW w:w="4050" w:type="dxa"/>
            <w:tcBorders>
              <w:bottom w:val="double" w:sz="4" w:space="0" w:color="auto"/>
            </w:tcBorders>
          </w:tcPr>
          <w:p w:rsidR="005028A8" w:rsidRPr="00D24DC6" w:rsidRDefault="005028A8" w:rsidP="00D00BAD">
            <w:pPr>
              <w:spacing w:before="120"/>
              <w:rPr>
                <w:rFonts w:ascii="Book Antiqua" w:hAnsi="Book Antiqua"/>
                <w:sz w:val="20"/>
                <w:szCs w:val="20"/>
              </w:rPr>
            </w:pPr>
            <w:r>
              <w:rPr>
                <w:rFonts w:ascii="Book Antiqua" w:hAnsi="Book Antiqua"/>
                <w:sz w:val="20"/>
                <w:szCs w:val="20"/>
              </w:rPr>
              <w:t xml:space="preserve">This is a major indicator for transportation infrastructure applicable to </w:t>
            </w:r>
            <w:r w:rsidR="00F573E8">
              <w:rPr>
                <w:rFonts w:ascii="Book Antiqua" w:hAnsi="Book Antiqua"/>
                <w:sz w:val="20"/>
                <w:szCs w:val="20"/>
              </w:rPr>
              <w:t xml:space="preserve">all </w:t>
            </w:r>
            <w:r>
              <w:rPr>
                <w:rFonts w:ascii="Book Antiqua" w:hAnsi="Book Antiqua"/>
                <w:sz w:val="20"/>
                <w:szCs w:val="20"/>
              </w:rPr>
              <w:t xml:space="preserve">countries.  </w:t>
            </w:r>
          </w:p>
        </w:tc>
        <w:tc>
          <w:tcPr>
            <w:tcW w:w="2700" w:type="dxa"/>
            <w:tcBorders>
              <w:bottom w:val="double" w:sz="4" w:space="0" w:color="auto"/>
            </w:tcBorders>
          </w:tcPr>
          <w:p w:rsidR="005028A8" w:rsidRPr="00D24DC6" w:rsidRDefault="005028A8" w:rsidP="00D00BAD">
            <w:pPr>
              <w:spacing w:before="120"/>
              <w:rPr>
                <w:rFonts w:ascii="Book Antiqua" w:hAnsi="Book Antiqua"/>
                <w:sz w:val="20"/>
                <w:szCs w:val="20"/>
              </w:rPr>
            </w:pPr>
            <w:r>
              <w:rPr>
                <w:rFonts w:ascii="Book Antiqua" w:hAnsi="Book Antiqua"/>
                <w:sz w:val="20"/>
                <w:szCs w:val="20"/>
              </w:rPr>
              <w:t>Length of paved road in percentage to all kinds of road</w:t>
            </w:r>
          </w:p>
        </w:tc>
        <w:tc>
          <w:tcPr>
            <w:tcW w:w="3600" w:type="dxa"/>
            <w:tcBorders>
              <w:bottom w:val="double" w:sz="4" w:space="0" w:color="auto"/>
            </w:tcBorders>
          </w:tcPr>
          <w:p w:rsidR="005028A8" w:rsidRPr="00D24DC6" w:rsidRDefault="005028A8" w:rsidP="00D00BAD">
            <w:pPr>
              <w:spacing w:before="120"/>
              <w:rPr>
                <w:rFonts w:ascii="Book Antiqua" w:hAnsi="Book Antiqua"/>
                <w:sz w:val="20"/>
                <w:szCs w:val="20"/>
              </w:rPr>
            </w:pPr>
            <w:r>
              <w:rPr>
                <w:rFonts w:ascii="Book Antiqua" w:hAnsi="Book Antiqua"/>
                <w:sz w:val="20"/>
                <w:szCs w:val="20"/>
              </w:rPr>
              <w:t>Admin data available in national road departments</w:t>
            </w:r>
            <w:r w:rsidR="00F573E8">
              <w:rPr>
                <w:rFonts w:ascii="Book Antiqua" w:hAnsi="Book Antiqua"/>
                <w:sz w:val="20"/>
                <w:szCs w:val="20"/>
              </w:rPr>
              <w:t xml:space="preserve">; </w:t>
            </w:r>
            <w:r>
              <w:rPr>
                <w:rFonts w:ascii="Book Antiqua" w:hAnsi="Book Antiqua"/>
                <w:sz w:val="20"/>
                <w:szCs w:val="20"/>
              </w:rPr>
              <w:t xml:space="preserve">data </w:t>
            </w:r>
            <w:r w:rsidR="00F573E8">
              <w:rPr>
                <w:rFonts w:ascii="Book Antiqua" w:hAnsi="Book Antiqua"/>
                <w:sz w:val="20"/>
                <w:szCs w:val="20"/>
              </w:rPr>
              <w:t xml:space="preserve">are not </w:t>
            </w:r>
            <w:r>
              <w:rPr>
                <w:rFonts w:ascii="Book Antiqua" w:hAnsi="Book Antiqua"/>
                <w:sz w:val="20"/>
                <w:szCs w:val="20"/>
              </w:rPr>
              <w:t>available for</w:t>
            </w:r>
            <w:r w:rsidR="00F573E8">
              <w:rPr>
                <w:rFonts w:ascii="Book Antiqua" w:hAnsi="Book Antiqua"/>
                <w:sz w:val="20"/>
                <w:szCs w:val="20"/>
              </w:rPr>
              <w:t xml:space="preserve"> international reporting</w:t>
            </w:r>
            <w:r>
              <w:rPr>
                <w:rFonts w:ascii="Book Antiqua" w:hAnsi="Book Antiqua"/>
                <w:sz w:val="20"/>
                <w:szCs w:val="20"/>
              </w:rPr>
              <w:t xml:space="preserve"> </w:t>
            </w:r>
          </w:p>
        </w:tc>
      </w:tr>
      <w:tr w:rsidR="005028A8" w:rsidRPr="00D24DC6" w:rsidTr="00D00BAD">
        <w:trPr>
          <w:trHeight w:val="2940"/>
        </w:trPr>
        <w:tc>
          <w:tcPr>
            <w:tcW w:w="720" w:type="dxa"/>
            <w:tcBorders>
              <w:top w:val="double" w:sz="4" w:space="0" w:color="auto"/>
            </w:tcBorders>
          </w:tcPr>
          <w:p w:rsidR="005028A8" w:rsidRPr="00D24DC6" w:rsidRDefault="005028A8" w:rsidP="001A11E2">
            <w:pPr>
              <w:spacing w:before="120" w:after="120"/>
              <w:jc w:val="center"/>
              <w:rPr>
                <w:rFonts w:ascii="Book Antiqua" w:hAnsi="Book Antiqua"/>
                <w:b/>
                <w:sz w:val="20"/>
                <w:szCs w:val="20"/>
              </w:rPr>
            </w:pPr>
            <w:r w:rsidRPr="00D24DC6">
              <w:rPr>
                <w:rFonts w:ascii="Book Antiqua" w:hAnsi="Book Antiqua"/>
                <w:b/>
                <w:sz w:val="20"/>
                <w:szCs w:val="20"/>
              </w:rPr>
              <w:t>9.2.1</w:t>
            </w:r>
          </w:p>
        </w:tc>
        <w:tc>
          <w:tcPr>
            <w:tcW w:w="2250" w:type="dxa"/>
            <w:tcBorders>
              <w:top w:val="double" w:sz="4" w:space="0" w:color="auto"/>
            </w:tcBorders>
          </w:tcPr>
          <w:p w:rsidR="005028A8" w:rsidRPr="00D24DC6" w:rsidRDefault="005028A8" w:rsidP="00925980">
            <w:pPr>
              <w:spacing w:before="120" w:after="120"/>
              <w:rPr>
                <w:rFonts w:ascii="Book Antiqua" w:hAnsi="Book Antiqua"/>
                <w:sz w:val="20"/>
                <w:szCs w:val="20"/>
              </w:rPr>
            </w:pPr>
            <w:r w:rsidRPr="00D24DC6">
              <w:rPr>
                <w:rFonts w:ascii="Book Antiqua" w:hAnsi="Book Antiqua"/>
                <w:sz w:val="20"/>
                <w:szCs w:val="20"/>
              </w:rPr>
              <w:t>Manufacturing value added (MVA)</w:t>
            </w:r>
          </w:p>
        </w:tc>
        <w:tc>
          <w:tcPr>
            <w:tcW w:w="4050" w:type="dxa"/>
            <w:tcBorders>
              <w:top w:val="double" w:sz="4" w:space="0" w:color="auto"/>
            </w:tcBorders>
          </w:tcPr>
          <w:p w:rsidR="005028A8" w:rsidRPr="00D24DC6" w:rsidRDefault="005028A8" w:rsidP="00014A1E">
            <w:pPr>
              <w:spacing w:before="120" w:after="120"/>
              <w:rPr>
                <w:rFonts w:ascii="Book Antiqua" w:hAnsi="Book Antiqua"/>
                <w:sz w:val="20"/>
                <w:szCs w:val="20"/>
              </w:rPr>
            </w:pPr>
            <w:r w:rsidRPr="00D24DC6">
              <w:rPr>
                <w:rFonts w:ascii="Book Antiqua" w:hAnsi="Book Antiqua"/>
                <w:sz w:val="20"/>
                <w:szCs w:val="20"/>
              </w:rPr>
              <w:t xml:space="preserve">This is a well-recognized and widely used indicator by researchers and policy makers to assess the level of industrialization of a country. MVA measures the contribution of manufacturing to economy. It can be presented in percentage to GDP as well as per capita for any reference year. MVA growth rates are given at constant prices. The indicator is exceptionally good for international comparison. </w:t>
            </w:r>
          </w:p>
        </w:tc>
        <w:tc>
          <w:tcPr>
            <w:tcW w:w="2700" w:type="dxa"/>
            <w:tcBorders>
              <w:top w:val="double" w:sz="4" w:space="0" w:color="auto"/>
            </w:tcBorders>
          </w:tcPr>
          <w:p w:rsidR="005028A8" w:rsidRPr="00D24DC6" w:rsidRDefault="005028A8" w:rsidP="00F573E8">
            <w:pPr>
              <w:spacing w:before="120" w:after="120"/>
              <w:rPr>
                <w:rFonts w:ascii="Book Antiqua" w:hAnsi="Book Antiqua"/>
                <w:sz w:val="20"/>
                <w:szCs w:val="20"/>
              </w:rPr>
            </w:pPr>
            <w:r w:rsidRPr="00D24DC6">
              <w:rPr>
                <w:rFonts w:ascii="Book Antiqua" w:hAnsi="Book Antiqua"/>
                <w:sz w:val="20"/>
                <w:szCs w:val="20"/>
              </w:rPr>
              <w:t xml:space="preserve">MVA is the total value of goods and services net of intermediate consumption. It is generally compiled as the sum of the value added of all manufacturing activity units in operation in the reference period. </w:t>
            </w:r>
            <w:r w:rsidR="00F573E8">
              <w:rPr>
                <w:rFonts w:ascii="Book Antiqua" w:hAnsi="Book Antiqua"/>
                <w:sz w:val="20"/>
                <w:szCs w:val="20"/>
              </w:rPr>
              <w:t xml:space="preserve">MVA is obtained from the national accounts database. </w:t>
            </w:r>
          </w:p>
        </w:tc>
        <w:tc>
          <w:tcPr>
            <w:tcW w:w="3600" w:type="dxa"/>
            <w:tcBorders>
              <w:top w:val="double" w:sz="4" w:space="0" w:color="auto"/>
            </w:tcBorders>
          </w:tcPr>
          <w:p w:rsidR="006A42D6" w:rsidRDefault="005028A8" w:rsidP="00925980">
            <w:pPr>
              <w:spacing w:before="120" w:after="120"/>
              <w:rPr>
                <w:rFonts w:ascii="Book Antiqua" w:hAnsi="Book Antiqua"/>
                <w:sz w:val="20"/>
                <w:szCs w:val="20"/>
              </w:rPr>
            </w:pPr>
            <w:r w:rsidRPr="00D24DC6">
              <w:rPr>
                <w:rFonts w:ascii="Book Antiqua" w:hAnsi="Book Antiqua"/>
                <w:sz w:val="20"/>
                <w:szCs w:val="20"/>
              </w:rPr>
              <w:t xml:space="preserve">MVA data are available in a large number of countries. Currently UNIDO maintains the World MVA database which contains data for about 200 economies. Data are presented at constant and current prices. </w:t>
            </w:r>
          </w:p>
          <w:p w:rsidR="005028A8" w:rsidRPr="00D24DC6" w:rsidRDefault="006A42D6" w:rsidP="006A42D6">
            <w:pPr>
              <w:spacing w:before="120" w:after="120"/>
              <w:rPr>
                <w:rFonts w:ascii="Book Antiqua" w:hAnsi="Book Antiqua"/>
                <w:sz w:val="20"/>
                <w:szCs w:val="20"/>
              </w:rPr>
            </w:pPr>
            <w:r>
              <w:rPr>
                <w:rFonts w:ascii="Book Antiqua" w:hAnsi="Book Antiqua"/>
                <w:sz w:val="20"/>
                <w:szCs w:val="20"/>
              </w:rPr>
              <w:t xml:space="preserve">Data </w:t>
            </w:r>
            <w:r w:rsidR="005028A8" w:rsidRPr="00D24DC6">
              <w:rPr>
                <w:rFonts w:ascii="Book Antiqua" w:hAnsi="Book Antiqua"/>
                <w:sz w:val="20"/>
                <w:szCs w:val="20"/>
              </w:rPr>
              <w:t>can be presented for country groups</w:t>
            </w:r>
            <w:r>
              <w:rPr>
                <w:rFonts w:ascii="Book Antiqua" w:hAnsi="Book Antiqua"/>
                <w:sz w:val="20"/>
                <w:szCs w:val="20"/>
              </w:rPr>
              <w:t xml:space="preserve"> (</w:t>
            </w:r>
            <w:r w:rsidR="005028A8" w:rsidRPr="00D24DC6">
              <w:rPr>
                <w:rFonts w:ascii="Book Antiqua" w:hAnsi="Book Antiqua"/>
                <w:sz w:val="20"/>
                <w:szCs w:val="20"/>
              </w:rPr>
              <w:t>LDCs, LLDC</w:t>
            </w:r>
            <w:r>
              <w:rPr>
                <w:rFonts w:ascii="Book Antiqua" w:hAnsi="Book Antiqua"/>
                <w:sz w:val="20"/>
                <w:szCs w:val="20"/>
              </w:rPr>
              <w:t xml:space="preserve">) </w:t>
            </w:r>
            <w:r w:rsidR="005028A8" w:rsidRPr="00D24DC6">
              <w:rPr>
                <w:rFonts w:ascii="Book Antiqua" w:hAnsi="Book Antiqua"/>
                <w:sz w:val="20"/>
                <w:szCs w:val="20"/>
              </w:rPr>
              <w:t xml:space="preserve">and </w:t>
            </w:r>
            <w:r>
              <w:rPr>
                <w:rFonts w:ascii="Book Antiqua" w:hAnsi="Book Antiqua"/>
                <w:sz w:val="20"/>
                <w:szCs w:val="20"/>
              </w:rPr>
              <w:t>the</w:t>
            </w:r>
            <w:r w:rsidR="005028A8" w:rsidRPr="00D24DC6">
              <w:rPr>
                <w:rFonts w:ascii="Book Antiqua" w:hAnsi="Book Antiqua"/>
                <w:sz w:val="20"/>
                <w:szCs w:val="20"/>
              </w:rPr>
              <w:t xml:space="preserve"> world regions</w:t>
            </w:r>
            <w:r w:rsidR="00F573E8">
              <w:rPr>
                <w:rFonts w:ascii="Book Antiqua" w:hAnsi="Book Antiqua"/>
                <w:sz w:val="20"/>
                <w:szCs w:val="20"/>
              </w:rPr>
              <w:t>.</w:t>
            </w:r>
          </w:p>
        </w:tc>
      </w:tr>
      <w:tr w:rsidR="005028A8" w:rsidRPr="00D24DC6" w:rsidTr="00D00BAD">
        <w:tc>
          <w:tcPr>
            <w:tcW w:w="720" w:type="dxa"/>
            <w:tcBorders>
              <w:bottom w:val="double" w:sz="4" w:space="0" w:color="auto"/>
            </w:tcBorders>
          </w:tcPr>
          <w:p w:rsidR="005028A8" w:rsidRPr="00D24DC6" w:rsidRDefault="005028A8" w:rsidP="00DC41DA">
            <w:pPr>
              <w:spacing w:before="120" w:after="120"/>
              <w:jc w:val="center"/>
              <w:rPr>
                <w:rFonts w:ascii="Book Antiqua" w:hAnsi="Book Antiqua"/>
                <w:sz w:val="20"/>
                <w:szCs w:val="20"/>
              </w:rPr>
            </w:pPr>
            <w:r w:rsidRPr="00D24DC6">
              <w:rPr>
                <w:rFonts w:ascii="Book Antiqua" w:hAnsi="Book Antiqua"/>
                <w:sz w:val="20"/>
                <w:szCs w:val="20"/>
              </w:rPr>
              <w:t>9.2.2</w:t>
            </w:r>
          </w:p>
        </w:tc>
        <w:tc>
          <w:tcPr>
            <w:tcW w:w="2250" w:type="dxa"/>
            <w:tcBorders>
              <w:bottom w:val="double" w:sz="4" w:space="0" w:color="auto"/>
            </w:tcBorders>
          </w:tcPr>
          <w:p w:rsidR="005028A8" w:rsidRPr="00D24DC6" w:rsidRDefault="005028A8" w:rsidP="00014A1E">
            <w:pPr>
              <w:spacing w:before="120" w:after="120"/>
              <w:rPr>
                <w:rFonts w:ascii="Book Antiqua" w:hAnsi="Book Antiqua"/>
                <w:sz w:val="20"/>
                <w:szCs w:val="20"/>
              </w:rPr>
            </w:pPr>
            <w:r w:rsidRPr="00D24DC6">
              <w:rPr>
                <w:rFonts w:ascii="Book Antiqua" w:hAnsi="Book Antiqua"/>
                <w:sz w:val="20"/>
                <w:szCs w:val="20"/>
              </w:rPr>
              <w:t>Manufacturing employment in percentage to total employment</w:t>
            </w:r>
          </w:p>
        </w:tc>
        <w:tc>
          <w:tcPr>
            <w:tcW w:w="4050" w:type="dxa"/>
            <w:tcBorders>
              <w:bottom w:val="double" w:sz="4" w:space="0" w:color="auto"/>
            </w:tcBorders>
          </w:tcPr>
          <w:p w:rsidR="005028A8" w:rsidRPr="00D24DC6" w:rsidRDefault="005028A8" w:rsidP="00E75EC1">
            <w:pPr>
              <w:spacing w:before="120" w:after="120"/>
              <w:rPr>
                <w:rFonts w:ascii="Book Antiqua" w:hAnsi="Book Antiqua"/>
                <w:sz w:val="20"/>
                <w:szCs w:val="20"/>
              </w:rPr>
            </w:pPr>
            <w:r w:rsidRPr="00D24DC6">
              <w:rPr>
                <w:rFonts w:ascii="Book Antiqua" w:hAnsi="Book Antiqua"/>
                <w:sz w:val="20"/>
                <w:szCs w:val="20"/>
              </w:rPr>
              <w:t xml:space="preserve">This indicator represents the contribution of manufacturing in job creation. It is universally important indicator. For industrialized countries it represents sustained growth, for developing countries it shows the ability of manufacturing to absorb surplus labour from traditional sectors. Compared to the indicator 9.2.1 it measures the labour productivity – another key indicator for measuring technological progress. </w:t>
            </w:r>
          </w:p>
        </w:tc>
        <w:tc>
          <w:tcPr>
            <w:tcW w:w="2700" w:type="dxa"/>
            <w:tcBorders>
              <w:bottom w:val="double" w:sz="4" w:space="0" w:color="auto"/>
            </w:tcBorders>
          </w:tcPr>
          <w:p w:rsidR="005028A8" w:rsidRPr="00D24DC6" w:rsidRDefault="005028A8" w:rsidP="00E75EC1">
            <w:pPr>
              <w:spacing w:before="120" w:after="120"/>
              <w:rPr>
                <w:rFonts w:ascii="Book Antiqua" w:hAnsi="Book Antiqua"/>
                <w:sz w:val="20"/>
                <w:szCs w:val="20"/>
              </w:rPr>
            </w:pPr>
            <w:r w:rsidRPr="00D24DC6">
              <w:rPr>
                <w:rFonts w:ascii="Book Antiqua" w:hAnsi="Book Antiqua"/>
                <w:sz w:val="20"/>
                <w:szCs w:val="20"/>
              </w:rPr>
              <w:t xml:space="preserve">Employment is defined as a work performed for pay or profit. The value is obtained by summing up the number of employed in all manufacturing activities. The indicator is presented in absolute terms as well as relative to total employment.   </w:t>
            </w:r>
          </w:p>
        </w:tc>
        <w:tc>
          <w:tcPr>
            <w:tcW w:w="3600" w:type="dxa"/>
            <w:tcBorders>
              <w:bottom w:val="double" w:sz="4" w:space="0" w:color="auto"/>
            </w:tcBorders>
          </w:tcPr>
          <w:p w:rsidR="006A42D6" w:rsidRDefault="005028A8" w:rsidP="00F47EBF">
            <w:pPr>
              <w:spacing w:before="120" w:after="120"/>
              <w:rPr>
                <w:rFonts w:ascii="Book Antiqua" w:hAnsi="Book Antiqua"/>
                <w:sz w:val="20"/>
                <w:szCs w:val="20"/>
              </w:rPr>
            </w:pPr>
            <w:r w:rsidRPr="00D24DC6">
              <w:rPr>
                <w:rFonts w:ascii="Book Antiqua" w:hAnsi="Book Antiqua"/>
                <w:sz w:val="20"/>
                <w:szCs w:val="20"/>
              </w:rPr>
              <w:t xml:space="preserve">Manufacturing employment data are widely available from the industrial survey results. UNIDO’s INDSTAT database contains employment data for 170 countries. Total employment data (for calculation of percentage) are available in ILO database. </w:t>
            </w:r>
          </w:p>
          <w:p w:rsidR="006A42D6" w:rsidRDefault="006A42D6" w:rsidP="00F47EBF">
            <w:pPr>
              <w:spacing w:before="120" w:after="120"/>
              <w:rPr>
                <w:rFonts w:ascii="Book Antiqua" w:hAnsi="Book Antiqua"/>
                <w:sz w:val="20"/>
                <w:szCs w:val="20"/>
              </w:rPr>
            </w:pPr>
          </w:p>
          <w:p w:rsidR="005028A8" w:rsidRPr="00D24DC6" w:rsidRDefault="006A42D6" w:rsidP="00F47EBF">
            <w:pPr>
              <w:spacing w:before="120" w:after="120"/>
              <w:rPr>
                <w:rFonts w:ascii="Book Antiqua" w:hAnsi="Book Antiqua"/>
                <w:sz w:val="20"/>
                <w:szCs w:val="20"/>
              </w:rPr>
            </w:pPr>
            <w:r>
              <w:rPr>
                <w:rFonts w:ascii="Book Antiqua" w:hAnsi="Book Antiqua"/>
                <w:sz w:val="20"/>
                <w:szCs w:val="20"/>
              </w:rPr>
              <w:t>Gender disaggregated data are available</w:t>
            </w:r>
            <w:r w:rsidR="005028A8" w:rsidRPr="00D24DC6">
              <w:rPr>
                <w:rFonts w:ascii="Book Antiqua" w:hAnsi="Book Antiqua"/>
                <w:sz w:val="20"/>
                <w:szCs w:val="20"/>
              </w:rPr>
              <w:t xml:space="preserve"> </w:t>
            </w:r>
          </w:p>
        </w:tc>
      </w:tr>
      <w:tr w:rsidR="005028A8" w:rsidRPr="00D24DC6" w:rsidTr="00D00BAD">
        <w:tc>
          <w:tcPr>
            <w:tcW w:w="720" w:type="dxa"/>
            <w:tcBorders>
              <w:top w:val="double" w:sz="4" w:space="0" w:color="auto"/>
              <w:left w:val="single" w:sz="4" w:space="0" w:color="auto"/>
              <w:bottom w:val="single" w:sz="4" w:space="0" w:color="auto"/>
              <w:right w:val="single" w:sz="4" w:space="0" w:color="auto"/>
            </w:tcBorders>
          </w:tcPr>
          <w:p w:rsidR="005028A8" w:rsidRPr="00D24DC6" w:rsidRDefault="005028A8" w:rsidP="00DC41DA">
            <w:pPr>
              <w:spacing w:before="120" w:after="120"/>
              <w:jc w:val="center"/>
              <w:rPr>
                <w:rFonts w:ascii="Book Antiqua" w:hAnsi="Book Antiqua"/>
                <w:sz w:val="20"/>
                <w:szCs w:val="20"/>
              </w:rPr>
            </w:pPr>
            <w:r w:rsidRPr="00D24DC6">
              <w:rPr>
                <w:rFonts w:ascii="Book Antiqua" w:hAnsi="Book Antiqua"/>
                <w:sz w:val="20"/>
                <w:szCs w:val="20"/>
              </w:rPr>
              <w:lastRenderedPageBreak/>
              <w:t>9.3.1</w:t>
            </w:r>
          </w:p>
        </w:tc>
        <w:tc>
          <w:tcPr>
            <w:tcW w:w="2250" w:type="dxa"/>
            <w:tcBorders>
              <w:top w:val="double" w:sz="4" w:space="0" w:color="auto"/>
              <w:left w:val="single" w:sz="4" w:space="0" w:color="auto"/>
              <w:bottom w:val="single" w:sz="4" w:space="0" w:color="auto"/>
              <w:right w:val="single" w:sz="4" w:space="0" w:color="auto"/>
            </w:tcBorders>
          </w:tcPr>
          <w:p w:rsidR="005028A8" w:rsidRPr="00D24DC6" w:rsidRDefault="005028A8" w:rsidP="00714F39">
            <w:pPr>
              <w:spacing w:before="120" w:after="120"/>
              <w:rPr>
                <w:rFonts w:ascii="Book Antiqua" w:hAnsi="Book Antiqua"/>
                <w:sz w:val="20"/>
                <w:szCs w:val="20"/>
              </w:rPr>
            </w:pPr>
            <w:r w:rsidRPr="00D24DC6">
              <w:rPr>
                <w:rFonts w:ascii="Book Antiqua" w:hAnsi="Book Antiqua"/>
                <w:sz w:val="20"/>
                <w:szCs w:val="20"/>
              </w:rPr>
              <w:t>Share of small scale industries in total industry value added</w:t>
            </w:r>
          </w:p>
        </w:tc>
        <w:tc>
          <w:tcPr>
            <w:tcW w:w="4050" w:type="dxa"/>
            <w:tcBorders>
              <w:top w:val="double" w:sz="4" w:space="0" w:color="auto"/>
              <w:left w:val="single" w:sz="4" w:space="0" w:color="auto"/>
              <w:bottom w:val="single" w:sz="4" w:space="0" w:color="auto"/>
              <w:right w:val="single" w:sz="4" w:space="0" w:color="auto"/>
            </w:tcBorders>
          </w:tcPr>
          <w:p w:rsidR="005028A8" w:rsidRPr="00D24DC6" w:rsidRDefault="005028A8" w:rsidP="006A42D6">
            <w:pPr>
              <w:spacing w:before="120" w:after="120"/>
              <w:rPr>
                <w:rFonts w:ascii="Book Antiqua" w:hAnsi="Book Antiqua"/>
                <w:sz w:val="20"/>
                <w:szCs w:val="20"/>
              </w:rPr>
            </w:pPr>
            <w:r w:rsidRPr="00D24DC6">
              <w:rPr>
                <w:rFonts w:ascii="Book Antiqua" w:hAnsi="Book Antiqua"/>
                <w:sz w:val="20"/>
                <w:szCs w:val="20"/>
              </w:rPr>
              <w:t xml:space="preserve">Small scale industry is the backbone of sustainable industrial growth, especially in developing countries where there is the lack of capital, skilled manpower and market for large scale industry. </w:t>
            </w:r>
            <w:r w:rsidR="006A42D6">
              <w:rPr>
                <w:rFonts w:ascii="Book Antiqua" w:hAnsi="Book Antiqua"/>
                <w:sz w:val="20"/>
                <w:szCs w:val="20"/>
              </w:rPr>
              <w:t xml:space="preserve">Small industries generate employment and self-employment in rural and urban area. Data on small industry is in high demand </w:t>
            </w:r>
            <w:proofErr w:type="gramStart"/>
            <w:r w:rsidR="006A42D6">
              <w:rPr>
                <w:rFonts w:ascii="Book Antiqua" w:hAnsi="Book Antiqua"/>
                <w:sz w:val="20"/>
                <w:szCs w:val="20"/>
              </w:rPr>
              <w:t>from  the</w:t>
            </w:r>
            <w:proofErr w:type="gramEnd"/>
            <w:r w:rsidR="006A42D6">
              <w:rPr>
                <w:rFonts w:ascii="Book Antiqua" w:hAnsi="Book Antiqua"/>
                <w:sz w:val="20"/>
                <w:szCs w:val="20"/>
              </w:rPr>
              <w:t xml:space="preserve"> policy makers and businesses.</w:t>
            </w:r>
          </w:p>
        </w:tc>
        <w:tc>
          <w:tcPr>
            <w:tcW w:w="2700" w:type="dxa"/>
            <w:tcBorders>
              <w:top w:val="double" w:sz="4" w:space="0" w:color="auto"/>
              <w:left w:val="single" w:sz="4" w:space="0" w:color="auto"/>
              <w:bottom w:val="single" w:sz="4" w:space="0" w:color="auto"/>
              <w:right w:val="single" w:sz="4" w:space="0" w:color="auto"/>
            </w:tcBorders>
          </w:tcPr>
          <w:p w:rsidR="005028A8" w:rsidRPr="00D24DC6" w:rsidRDefault="005028A8" w:rsidP="006A42D6">
            <w:pPr>
              <w:spacing w:before="120" w:after="120"/>
              <w:rPr>
                <w:rFonts w:ascii="Book Antiqua" w:hAnsi="Book Antiqua"/>
                <w:sz w:val="20"/>
                <w:szCs w:val="20"/>
              </w:rPr>
            </w:pPr>
            <w:r w:rsidRPr="00D24DC6">
              <w:rPr>
                <w:rFonts w:ascii="Book Antiqua" w:hAnsi="Book Antiqua"/>
                <w:sz w:val="20"/>
                <w:szCs w:val="20"/>
              </w:rPr>
              <w:t xml:space="preserve">Industry value added refers to the survey estimates of value added of </w:t>
            </w:r>
            <w:proofErr w:type="spellStart"/>
            <w:r w:rsidR="006A42D6" w:rsidRPr="00D24DC6">
              <w:rPr>
                <w:rFonts w:ascii="Book Antiqua" w:hAnsi="Book Antiqua"/>
                <w:sz w:val="20"/>
                <w:szCs w:val="20"/>
              </w:rPr>
              <w:t>manufactu</w:t>
            </w:r>
            <w:proofErr w:type="spellEnd"/>
            <w:r w:rsidR="006A42D6">
              <w:rPr>
                <w:rFonts w:ascii="Book Antiqua" w:hAnsi="Book Antiqua"/>
                <w:sz w:val="20"/>
                <w:szCs w:val="20"/>
              </w:rPr>
              <w:t>-</w:t>
            </w:r>
            <w:r w:rsidR="006A42D6" w:rsidRPr="00D24DC6">
              <w:rPr>
                <w:rFonts w:ascii="Book Antiqua" w:hAnsi="Book Antiqua"/>
                <w:sz w:val="20"/>
                <w:szCs w:val="20"/>
              </w:rPr>
              <w:t>r</w:t>
            </w:r>
            <w:r w:rsidR="006A42D6">
              <w:rPr>
                <w:rFonts w:ascii="Book Antiqua" w:hAnsi="Book Antiqua"/>
                <w:sz w:val="20"/>
                <w:szCs w:val="20"/>
              </w:rPr>
              <w:t>i</w:t>
            </w:r>
            <w:r w:rsidR="006A42D6" w:rsidRPr="00D24DC6">
              <w:rPr>
                <w:rFonts w:ascii="Book Antiqua" w:hAnsi="Book Antiqua"/>
                <w:sz w:val="20"/>
                <w:szCs w:val="20"/>
              </w:rPr>
              <w:t>ng</w:t>
            </w:r>
            <w:r w:rsidRPr="00D24DC6">
              <w:rPr>
                <w:rFonts w:ascii="Book Antiqua" w:hAnsi="Book Antiqua"/>
                <w:sz w:val="20"/>
                <w:szCs w:val="20"/>
              </w:rPr>
              <w:t xml:space="preserve"> industries. This indicator is computed </w:t>
            </w:r>
            <w:r w:rsidR="006A42D6">
              <w:rPr>
                <w:rFonts w:ascii="Book Antiqua" w:hAnsi="Book Antiqua"/>
                <w:sz w:val="20"/>
                <w:szCs w:val="20"/>
              </w:rPr>
              <w:t xml:space="preserve">in percentage share of </w:t>
            </w:r>
            <w:r w:rsidRPr="00D24DC6">
              <w:rPr>
                <w:rFonts w:ascii="Book Antiqua" w:hAnsi="Book Antiqua"/>
                <w:sz w:val="20"/>
                <w:szCs w:val="20"/>
              </w:rPr>
              <w:t xml:space="preserve">small industries in total value added. </w:t>
            </w:r>
          </w:p>
        </w:tc>
        <w:tc>
          <w:tcPr>
            <w:tcW w:w="3600" w:type="dxa"/>
            <w:tcBorders>
              <w:top w:val="double" w:sz="4" w:space="0" w:color="auto"/>
              <w:left w:val="single" w:sz="4" w:space="0" w:color="auto"/>
              <w:bottom w:val="single" w:sz="4" w:space="0" w:color="auto"/>
              <w:right w:val="single" w:sz="4" w:space="0" w:color="auto"/>
            </w:tcBorders>
          </w:tcPr>
          <w:p w:rsidR="005028A8" w:rsidRPr="00D24DC6" w:rsidRDefault="005028A8" w:rsidP="006A42D6">
            <w:pPr>
              <w:spacing w:before="120" w:after="120"/>
              <w:rPr>
                <w:rFonts w:ascii="Book Antiqua" w:hAnsi="Book Antiqua"/>
                <w:sz w:val="20"/>
                <w:szCs w:val="20"/>
              </w:rPr>
            </w:pPr>
            <w:r w:rsidRPr="00D24DC6">
              <w:rPr>
                <w:rFonts w:ascii="Book Antiqua" w:hAnsi="Book Antiqua"/>
                <w:sz w:val="20"/>
                <w:szCs w:val="20"/>
              </w:rPr>
              <w:t xml:space="preserve">Data for this indicator is available from industrial surveys. Currently, there is no mandatory international reporting. UNIDO can extend its data collection programme or assist NSOs to derive </w:t>
            </w:r>
            <w:r w:rsidR="006A42D6">
              <w:rPr>
                <w:rFonts w:ascii="Book Antiqua" w:hAnsi="Book Antiqua"/>
                <w:sz w:val="20"/>
                <w:szCs w:val="20"/>
              </w:rPr>
              <w:t>it f</w:t>
            </w:r>
            <w:r w:rsidRPr="00D24DC6">
              <w:rPr>
                <w:rFonts w:ascii="Book Antiqua" w:hAnsi="Book Antiqua"/>
                <w:sz w:val="20"/>
                <w:szCs w:val="20"/>
              </w:rPr>
              <w:t xml:space="preserve">rom existing data. </w:t>
            </w:r>
          </w:p>
        </w:tc>
      </w:tr>
      <w:tr w:rsidR="005028A8" w:rsidRPr="00D24DC6" w:rsidTr="00D00BAD">
        <w:tc>
          <w:tcPr>
            <w:tcW w:w="720" w:type="dxa"/>
            <w:tcBorders>
              <w:top w:val="single" w:sz="4" w:space="0" w:color="auto"/>
              <w:left w:val="single" w:sz="4" w:space="0" w:color="auto"/>
              <w:bottom w:val="double" w:sz="4" w:space="0" w:color="auto"/>
              <w:right w:val="single" w:sz="4" w:space="0" w:color="auto"/>
            </w:tcBorders>
          </w:tcPr>
          <w:p w:rsidR="005028A8" w:rsidRPr="00D24DC6" w:rsidRDefault="005028A8" w:rsidP="00DC41DA">
            <w:pPr>
              <w:spacing w:before="120" w:after="120"/>
              <w:jc w:val="center"/>
              <w:rPr>
                <w:rFonts w:ascii="Book Antiqua" w:hAnsi="Book Antiqua"/>
                <w:sz w:val="20"/>
                <w:szCs w:val="20"/>
              </w:rPr>
            </w:pPr>
            <w:r w:rsidRPr="00D24DC6">
              <w:rPr>
                <w:rFonts w:ascii="Book Antiqua" w:hAnsi="Book Antiqua"/>
                <w:sz w:val="20"/>
                <w:szCs w:val="20"/>
              </w:rPr>
              <w:t>9.3.2</w:t>
            </w:r>
          </w:p>
        </w:tc>
        <w:tc>
          <w:tcPr>
            <w:tcW w:w="2250" w:type="dxa"/>
            <w:tcBorders>
              <w:top w:val="single" w:sz="4" w:space="0" w:color="auto"/>
              <w:left w:val="single" w:sz="4" w:space="0" w:color="auto"/>
              <w:bottom w:val="double" w:sz="4" w:space="0" w:color="auto"/>
              <w:right w:val="single" w:sz="4" w:space="0" w:color="auto"/>
            </w:tcBorders>
          </w:tcPr>
          <w:p w:rsidR="005028A8" w:rsidRPr="00D24DC6" w:rsidRDefault="005028A8" w:rsidP="00714F39">
            <w:pPr>
              <w:spacing w:before="120" w:after="120"/>
              <w:rPr>
                <w:rFonts w:ascii="Book Antiqua" w:hAnsi="Book Antiqua"/>
                <w:sz w:val="20"/>
                <w:szCs w:val="20"/>
              </w:rPr>
            </w:pPr>
            <w:r w:rsidRPr="00D24DC6">
              <w:rPr>
                <w:rFonts w:ascii="Book Antiqua" w:hAnsi="Book Antiqua"/>
                <w:sz w:val="20"/>
                <w:szCs w:val="20"/>
              </w:rPr>
              <w:t>Percentage of small scale industry receiving loan or other financial services</w:t>
            </w:r>
          </w:p>
        </w:tc>
        <w:tc>
          <w:tcPr>
            <w:tcW w:w="4050" w:type="dxa"/>
            <w:tcBorders>
              <w:top w:val="single" w:sz="4" w:space="0" w:color="auto"/>
              <w:left w:val="single" w:sz="4" w:space="0" w:color="auto"/>
              <w:bottom w:val="double" w:sz="4" w:space="0" w:color="auto"/>
              <w:right w:val="single" w:sz="4" w:space="0" w:color="auto"/>
            </w:tcBorders>
          </w:tcPr>
          <w:p w:rsidR="005028A8" w:rsidRPr="00D24DC6" w:rsidRDefault="005028A8" w:rsidP="00C76FB5">
            <w:pPr>
              <w:spacing w:before="120" w:after="120"/>
              <w:rPr>
                <w:rFonts w:ascii="Book Antiqua" w:hAnsi="Book Antiqua"/>
                <w:sz w:val="20"/>
                <w:szCs w:val="20"/>
              </w:rPr>
            </w:pPr>
            <w:r w:rsidRPr="00D24DC6">
              <w:rPr>
                <w:rFonts w:ascii="Book Antiqua" w:hAnsi="Book Antiqua"/>
                <w:sz w:val="20"/>
                <w:szCs w:val="20"/>
              </w:rPr>
              <w:t xml:space="preserve">Small scale industries have limited access to financial services, whereas their need to loan is acute. This indicator shows how widely financial institutions are serving the small industries. </w:t>
            </w:r>
          </w:p>
        </w:tc>
        <w:tc>
          <w:tcPr>
            <w:tcW w:w="2700" w:type="dxa"/>
            <w:tcBorders>
              <w:top w:val="single" w:sz="4" w:space="0" w:color="auto"/>
              <w:left w:val="single" w:sz="4" w:space="0" w:color="auto"/>
              <w:bottom w:val="double" w:sz="4" w:space="0" w:color="auto"/>
              <w:right w:val="single" w:sz="4" w:space="0" w:color="auto"/>
            </w:tcBorders>
          </w:tcPr>
          <w:p w:rsidR="005028A8" w:rsidRPr="00D24DC6" w:rsidRDefault="005028A8" w:rsidP="006A42D6">
            <w:pPr>
              <w:spacing w:before="120" w:after="120"/>
              <w:rPr>
                <w:rFonts w:ascii="Book Antiqua" w:hAnsi="Book Antiqua"/>
                <w:sz w:val="20"/>
                <w:szCs w:val="20"/>
              </w:rPr>
            </w:pPr>
            <w:r w:rsidRPr="00D24DC6">
              <w:rPr>
                <w:rFonts w:ascii="Book Antiqua" w:hAnsi="Book Antiqua"/>
                <w:sz w:val="20"/>
                <w:szCs w:val="20"/>
              </w:rPr>
              <w:t xml:space="preserve">Number of small industries receiving financial services is presented in </w:t>
            </w:r>
            <w:r w:rsidR="006A42D6">
              <w:rPr>
                <w:rFonts w:ascii="Book Antiqua" w:hAnsi="Book Antiqua"/>
                <w:sz w:val="20"/>
                <w:szCs w:val="20"/>
              </w:rPr>
              <w:t xml:space="preserve">percentage of the </w:t>
            </w:r>
            <w:r w:rsidRPr="00D24DC6">
              <w:rPr>
                <w:rFonts w:ascii="Book Antiqua" w:hAnsi="Book Antiqua"/>
                <w:sz w:val="20"/>
                <w:szCs w:val="20"/>
              </w:rPr>
              <w:t>total number of s</w:t>
            </w:r>
            <w:r w:rsidR="006A42D6">
              <w:rPr>
                <w:rFonts w:ascii="Book Antiqua" w:hAnsi="Book Antiqua"/>
                <w:sz w:val="20"/>
                <w:szCs w:val="20"/>
              </w:rPr>
              <w:t xml:space="preserve">mall </w:t>
            </w:r>
            <w:r w:rsidRPr="00D24DC6">
              <w:rPr>
                <w:rFonts w:ascii="Book Antiqua" w:hAnsi="Book Antiqua"/>
                <w:sz w:val="20"/>
                <w:szCs w:val="20"/>
              </w:rPr>
              <w:t xml:space="preserve">industries. </w:t>
            </w:r>
          </w:p>
        </w:tc>
        <w:tc>
          <w:tcPr>
            <w:tcW w:w="3600" w:type="dxa"/>
            <w:tcBorders>
              <w:top w:val="single" w:sz="4" w:space="0" w:color="auto"/>
              <w:left w:val="single" w:sz="4" w:space="0" w:color="auto"/>
              <w:bottom w:val="double" w:sz="4" w:space="0" w:color="auto"/>
              <w:right w:val="single" w:sz="4" w:space="0" w:color="auto"/>
            </w:tcBorders>
          </w:tcPr>
          <w:p w:rsidR="005028A8" w:rsidRPr="00D24DC6" w:rsidRDefault="005028A8" w:rsidP="00C76FB5">
            <w:pPr>
              <w:spacing w:before="120" w:after="120"/>
              <w:rPr>
                <w:rFonts w:ascii="Book Antiqua" w:hAnsi="Book Antiqua"/>
                <w:sz w:val="20"/>
                <w:szCs w:val="20"/>
              </w:rPr>
            </w:pPr>
            <w:r w:rsidRPr="00D24DC6">
              <w:rPr>
                <w:rFonts w:ascii="Book Antiqua" w:hAnsi="Book Antiqua"/>
                <w:sz w:val="20"/>
                <w:szCs w:val="20"/>
              </w:rPr>
              <w:t xml:space="preserve">Data are not readily available with international sources. NSOs can compile the indicator from the survey data and records of the financial institutions. </w:t>
            </w:r>
          </w:p>
        </w:tc>
      </w:tr>
      <w:tr w:rsidR="005028A8" w:rsidRPr="00D24DC6" w:rsidTr="00D00BAD">
        <w:tc>
          <w:tcPr>
            <w:tcW w:w="720" w:type="dxa"/>
            <w:tcBorders>
              <w:top w:val="double" w:sz="4" w:space="0" w:color="auto"/>
              <w:left w:val="single" w:sz="4" w:space="0" w:color="auto"/>
              <w:bottom w:val="single" w:sz="4" w:space="0" w:color="auto"/>
              <w:right w:val="single" w:sz="4" w:space="0" w:color="auto"/>
            </w:tcBorders>
          </w:tcPr>
          <w:p w:rsidR="005028A8" w:rsidRPr="00D24DC6" w:rsidRDefault="005028A8" w:rsidP="00DC41DA">
            <w:pPr>
              <w:spacing w:before="120" w:after="120"/>
              <w:jc w:val="center"/>
              <w:rPr>
                <w:rFonts w:ascii="Book Antiqua" w:hAnsi="Book Antiqua"/>
                <w:sz w:val="20"/>
                <w:szCs w:val="20"/>
              </w:rPr>
            </w:pPr>
            <w:r w:rsidRPr="00D24DC6">
              <w:rPr>
                <w:rFonts w:ascii="Book Antiqua" w:hAnsi="Book Antiqua"/>
                <w:sz w:val="20"/>
                <w:szCs w:val="20"/>
              </w:rPr>
              <w:t>9.4.1</w:t>
            </w:r>
          </w:p>
        </w:tc>
        <w:tc>
          <w:tcPr>
            <w:tcW w:w="2250" w:type="dxa"/>
            <w:tcBorders>
              <w:top w:val="double" w:sz="4" w:space="0" w:color="auto"/>
              <w:left w:val="single" w:sz="4" w:space="0" w:color="auto"/>
              <w:bottom w:val="single" w:sz="4" w:space="0" w:color="auto"/>
              <w:right w:val="single" w:sz="4" w:space="0" w:color="auto"/>
            </w:tcBorders>
          </w:tcPr>
          <w:p w:rsidR="005028A8" w:rsidRPr="00D24DC6" w:rsidRDefault="005028A8" w:rsidP="00714F39">
            <w:pPr>
              <w:spacing w:before="120" w:after="120"/>
              <w:rPr>
                <w:rFonts w:ascii="Book Antiqua" w:hAnsi="Book Antiqua"/>
                <w:sz w:val="20"/>
                <w:szCs w:val="20"/>
              </w:rPr>
            </w:pPr>
            <w:r w:rsidRPr="00D24DC6">
              <w:rPr>
                <w:rFonts w:ascii="Book Antiqua" w:hAnsi="Book Antiqua"/>
                <w:sz w:val="20"/>
                <w:szCs w:val="20"/>
              </w:rPr>
              <w:t>Carbon emission per unit of value added</w:t>
            </w:r>
          </w:p>
        </w:tc>
        <w:tc>
          <w:tcPr>
            <w:tcW w:w="4050" w:type="dxa"/>
            <w:tcBorders>
              <w:top w:val="double" w:sz="4" w:space="0" w:color="auto"/>
              <w:left w:val="single" w:sz="4" w:space="0" w:color="auto"/>
              <w:bottom w:val="single" w:sz="4" w:space="0" w:color="auto"/>
              <w:right w:val="single" w:sz="4" w:space="0" w:color="auto"/>
            </w:tcBorders>
          </w:tcPr>
          <w:p w:rsidR="005028A8" w:rsidRPr="00D24DC6" w:rsidRDefault="005028A8" w:rsidP="005A6BB9">
            <w:pPr>
              <w:spacing w:before="120" w:after="120"/>
              <w:rPr>
                <w:rFonts w:ascii="Book Antiqua" w:hAnsi="Book Antiqua"/>
                <w:sz w:val="20"/>
                <w:szCs w:val="20"/>
              </w:rPr>
            </w:pPr>
            <w:r w:rsidRPr="00D24DC6">
              <w:rPr>
                <w:rFonts w:ascii="Book Antiqua" w:hAnsi="Book Antiqua"/>
                <w:sz w:val="20"/>
                <w:szCs w:val="20"/>
              </w:rPr>
              <w:t xml:space="preserve">This is a universal indicator for measuring the impact of industrial production on environment. It captures the intensity of energy use, energy efficiency of production technology and most importantly use of fossil fuels. </w:t>
            </w:r>
          </w:p>
        </w:tc>
        <w:tc>
          <w:tcPr>
            <w:tcW w:w="2700" w:type="dxa"/>
            <w:tcBorders>
              <w:top w:val="double" w:sz="4" w:space="0" w:color="auto"/>
              <w:left w:val="single" w:sz="4" w:space="0" w:color="auto"/>
              <w:bottom w:val="single" w:sz="4" w:space="0" w:color="auto"/>
              <w:right w:val="single" w:sz="4" w:space="0" w:color="auto"/>
            </w:tcBorders>
          </w:tcPr>
          <w:p w:rsidR="005028A8" w:rsidRPr="00D24DC6" w:rsidRDefault="005028A8" w:rsidP="00D75E79">
            <w:pPr>
              <w:spacing w:before="120" w:after="120"/>
              <w:rPr>
                <w:rFonts w:ascii="Book Antiqua" w:hAnsi="Book Antiqua"/>
                <w:sz w:val="20"/>
                <w:szCs w:val="20"/>
              </w:rPr>
            </w:pPr>
            <w:r w:rsidRPr="00D24DC6">
              <w:rPr>
                <w:rFonts w:ascii="Book Antiqua" w:hAnsi="Book Antiqua"/>
                <w:sz w:val="20"/>
                <w:szCs w:val="20"/>
              </w:rPr>
              <w:t xml:space="preserve">This is a ratio indicator between the carbon emission and value added. Carbon emission is estimated from the data on energy consumption. </w:t>
            </w:r>
          </w:p>
        </w:tc>
        <w:tc>
          <w:tcPr>
            <w:tcW w:w="3600" w:type="dxa"/>
            <w:tcBorders>
              <w:top w:val="double" w:sz="4" w:space="0" w:color="auto"/>
              <w:left w:val="single" w:sz="4" w:space="0" w:color="auto"/>
              <w:bottom w:val="single" w:sz="4" w:space="0" w:color="auto"/>
              <w:right w:val="single" w:sz="4" w:space="0" w:color="auto"/>
            </w:tcBorders>
          </w:tcPr>
          <w:p w:rsidR="005028A8" w:rsidRPr="00D24DC6" w:rsidRDefault="005028A8" w:rsidP="00D75E79">
            <w:pPr>
              <w:spacing w:before="120" w:after="120"/>
              <w:rPr>
                <w:rFonts w:ascii="Book Antiqua" w:hAnsi="Book Antiqua"/>
                <w:sz w:val="20"/>
                <w:szCs w:val="20"/>
              </w:rPr>
            </w:pPr>
            <w:r w:rsidRPr="00D24DC6">
              <w:rPr>
                <w:rFonts w:ascii="Book Antiqua" w:hAnsi="Book Antiqua"/>
                <w:sz w:val="20"/>
                <w:szCs w:val="20"/>
              </w:rPr>
              <w:t xml:space="preserve">Energy consumption and value added data are available for more than 150 countries. Estimates of emission are missing sometime due to the lack of breakdown by energy sources. Industrial surveys provide disaggregated data. </w:t>
            </w:r>
          </w:p>
          <w:p w:rsidR="005028A8" w:rsidRPr="00D24DC6" w:rsidRDefault="005028A8" w:rsidP="00D75E79">
            <w:pPr>
              <w:spacing w:before="120" w:after="120"/>
              <w:rPr>
                <w:rFonts w:ascii="Book Antiqua" w:hAnsi="Book Antiqua"/>
                <w:sz w:val="20"/>
                <w:szCs w:val="20"/>
              </w:rPr>
            </w:pPr>
          </w:p>
        </w:tc>
      </w:tr>
      <w:tr w:rsidR="005028A8" w:rsidRPr="00D24DC6" w:rsidTr="00D00BAD">
        <w:tc>
          <w:tcPr>
            <w:tcW w:w="720" w:type="dxa"/>
            <w:tcBorders>
              <w:top w:val="single" w:sz="4" w:space="0" w:color="auto"/>
              <w:left w:val="single" w:sz="4" w:space="0" w:color="auto"/>
              <w:bottom w:val="double" w:sz="4" w:space="0" w:color="auto"/>
              <w:right w:val="single" w:sz="4" w:space="0" w:color="auto"/>
            </w:tcBorders>
          </w:tcPr>
          <w:p w:rsidR="005028A8" w:rsidRPr="00D24DC6" w:rsidRDefault="005028A8" w:rsidP="00DC41DA">
            <w:pPr>
              <w:spacing w:before="120" w:after="120"/>
              <w:jc w:val="center"/>
              <w:rPr>
                <w:rFonts w:ascii="Book Antiqua" w:hAnsi="Book Antiqua"/>
                <w:sz w:val="20"/>
                <w:szCs w:val="20"/>
              </w:rPr>
            </w:pPr>
            <w:r w:rsidRPr="00D24DC6">
              <w:rPr>
                <w:rFonts w:ascii="Book Antiqua" w:hAnsi="Book Antiqua"/>
                <w:sz w:val="20"/>
                <w:szCs w:val="20"/>
              </w:rPr>
              <w:t>9.4.2</w:t>
            </w:r>
          </w:p>
        </w:tc>
        <w:tc>
          <w:tcPr>
            <w:tcW w:w="2250" w:type="dxa"/>
            <w:tcBorders>
              <w:top w:val="single" w:sz="4" w:space="0" w:color="auto"/>
              <w:left w:val="single" w:sz="4" w:space="0" w:color="auto"/>
              <w:bottom w:val="double" w:sz="4" w:space="0" w:color="auto"/>
              <w:right w:val="single" w:sz="4" w:space="0" w:color="auto"/>
            </w:tcBorders>
          </w:tcPr>
          <w:p w:rsidR="005028A8" w:rsidRPr="00D24DC6" w:rsidRDefault="005028A8" w:rsidP="00714F39">
            <w:pPr>
              <w:spacing w:before="120" w:after="120"/>
              <w:rPr>
                <w:rFonts w:ascii="Book Antiqua" w:hAnsi="Book Antiqua"/>
                <w:sz w:val="20"/>
                <w:szCs w:val="20"/>
              </w:rPr>
            </w:pPr>
            <w:r w:rsidRPr="00D24DC6">
              <w:rPr>
                <w:rFonts w:ascii="Book Antiqua" w:hAnsi="Book Antiqua"/>
                <w:sz w:val="20"/>
                <w:szCs w:val="20"/>
              </w:rPr>
              <w:t>Material intensity per unit of value added</w:t>
            </w:r>
          </w:p>
        </w:tc>
        <w:tc>
          <w:tcPr>
            <w:tcW w:w="4050" w:type="dxa"/>
            <w:tcBorders>
              <w:top w:val="single" w:sz="4" w:space="0" w:color="auto"/>
              <w:left w:val="single" w:sz="4" w:space="0" w:color="auto"/>
              <w:bottom w:val="double" w:sz="4" w:space="0" w:color="auto"/>
              <w:right w:val="single" w:sz="4" w:space="0" w:color="auto"/>
            </w:tcBorders>
          </w:tcPr>
          <w:p w:rsidR="005028A8" w:rsidRDefault="005028A8" w:rsidP="00D75E79">
            <w:pPr>
              <w:spacing w:before="120" w:after="120"/>
              <w:rPr>
                <w:rFonts w:ascii="Book Antiqua" w:hAnsi="Book Antiqua"/>
                <w:sz w:val="20"/>
                <w:szCs w:val="20"/>
              </w:rPr>
            </w:pPr>
            <w:r w:rsidRPr="00D24DC6">
              <w:rPr>
                <w:rFonts w:ascii="Book Antiqua" w:hAnsi="Book Antiqua"/>
                <w:sz w:val="20"/>
                <w:szCs w:val="20"/>
              </w:rPr>
              <w:t xml:space="preserve">Material intensity refers to the use of materials for processing and measures the burden created by manufacturing on natural resources. Every use of natural resources causes reduction in environmental assets of a country. Materials occupy more than 70 percent of the value of manufacturing output.  </w:t>
            </w:r>
          </w:p>
          <w:p w:rsidR="00D00BAD" w:rsidRDefault="00D00BAD" w:rsidP="00D75E79">
            <w:pPr>
              <w:spacing w:before="120" w:after="120"/>
              <w:rPr>
                <w:rFonts w:ascii="Book Antiqua" w:hAnsi="Book Antiqua"/>
                <w:sz w:val="20"/>
                <w:szCs w:val="20"/>
              </w:rPr>
            </w:pPr>
          </w:p>
          <w:p w:rsidR="00D00BAD" w:rsidRPr="00D24DC6" w:rsidRDefault="00D00BAD" w:rsidP="00D75E79">
            <w:pPr>
              <w:spacing w:before="120" w:after="120"/>
              <w:rPr>
                <w:rFonts w:ascii="Book Antiqua" w:hAnsi="Book Antiqua"/>
                <w:sz w:val="20"/>
                <w:szCs w:val="20"/>
              </w:rPr>
            </w:pPr>
          </w:p>
        </w:tc>
        <w:tc>
          <w:tcPr>
            <w:tcW w:w="2700" w:type="dxa"/>
            <w:tcBorders>
              <w:top w:val="single" w:sz="4" w:space="0" w:color="auto"/>
              <w:left w:val="single" w:sz="4" w:space="0" w:color="auto"/>
              <w:bottom w:val="double" w:sz="4" w:space="0" w:color="auto"/>
              <w:right w:val="single" w:sz="4" w:space="0" w:color="auto"/>
            </w:tcBorders>
          </w:tcPr>
          <w:p w:rsidR="005028A8" w:rsidRPr="00D24DC6" w:rsidRDefault="005028A8" w:rsidP="00C76FB5">
            <w:pPr>
              <w:spacing w:before="120" w:after="120"/>
              <w:rPr>
                <w:rFonts w:ascii="Book Antiqua" w:hAnsi="Book Antiqua"/>
                <w:sz w:val="20"/>
                <w:szCs w:val="20"/>
              </w:rPr>
            </w:pPr>
            <w:r w:rsidRPr="00D24DC6">
              <w:rPr>
                <w:rFonts w:ascii="Book Antiqua" w:hAnsi="Book Antiqua"/>
                <w:sz w:val="20"/>
                <w:szCs w:val="20"/>
              </w:rPr>
              <w:t xml:space="preserve">All materials used in production is converted to a single physical unit of measurement (e.g. Kilo Tonne), which is then divided by value added (production measure). </w:t>
            </w:r>
          </w:p>
        </w:tc>
        <w:tc>
          <w:tcPr>
            <w:tcW w:w="3600" w:type="dxa"/>
            <w:tcBorders>
              <w:top w:val="single" w:sz="4" w:space="0" w:color="auto"/>
              <w:left w:val="single" w:sz="4" w:space="0" w:color="auto"/>
              <w:bottom w:val="double" w:sz="4" w:space="0" w:color="auto"/>
              <w:right w:val="single" w:sz="4" w:space="0" w:color="auto"/>
            </w:tcBorders>
          </w:tcPr>
          <w:p w:rsidR="005028A8" w:rsidRPr="00D24DC6" w:rsidRDefault="005028A8" w:rsidP="00C76FB5">
            <w:pPr>
              <w:spacing w:before="120" w:after="120"/>
              <w:rPr>
                <w:rFonts w:ascii="Book Antiqua" w:hAnsi="Book Antiqua"/>
                <w:sz w:val="20"/>
                <w:szCs w:val="20"/>
              </w:rPr>
            </w:pPr>
            <w:r w:rsidRPr="00D24DC6">
              <w:rPr>
                <w:rFonts w:ascii="Book Antiqua" w:hAnsi="Book Antiqua"/>
                <w:sz w:val="20"/>
                <w:szCs w:val="20"/>
              </w:rPr>
              <w:t>Material use data are obtained from the industrial surveys. However they are not internationally reported so far. Value added data for around 200 economies are available in UNIDO database.</w:t>
            </w:r>
          </w:p>
        </w:tc>
      </w:tr>
      <w:tr w:rsidR="00D00BAD" w:rsidRPr="00D24DC6" w:rsidTr="00314B51">
        <w:tc>
          <w:tcPr>
            <w:tcW w:w="720" w:type="dxa"/>
            <w:tcBorders>
              <w:top w:val="double" w:sz="4" w:space="0" w:color="auto"/>
              <w:left w:val="single" w:sz="4" w:space="0" w:color="auto"/>
              <w:bottom w:val="single" w:sz="4" w:space="0" w:color="auto"/>
              <w:right w:val="single" w:sz="4" w:space="0" w:color="auto"/>
            </w:tcBorders>
          </w:tcPr>
          <w:p w:rsidR="00D00BAD" w:rsidRPr="00D24DC6" w:rsidRDefault="00D00BAD" w:rsidP="00DC41DA">
            <w:pPr>
              <w:spacing w:before="120" w:after="120"/>
              <w:jc w:val="center"/>
              <w:rPr>
                <w:rFonts w:ascii="Book Antiqua" w:hAnsi="Book Antiqua"/>
                <w:sz w:val="20"/>
                <w:szCs w:val="20"/>
              </w:rPr>
            </w:pPr>
            <w:r w:rsidRPr="00D24DC6">
              <w:rPr>
                <w:rFonts w:ascii="Book Antiqua" w:hAnsi="Book Antiqua"/>
                <w:sz w:val="20"/>
                <w:szCs w:val="20"/>
              </w:rPr>
              <w:lastRenderedPageBreak/>
              <w:t>9.5.1</w:t>
            </w:r>
          </w:p>
        </w:tc>
        <w:tc>
          <w:tcPr>
            <w:tcW w:w="2250" w:type="dxa"/>
            <w:tcBorders>
              <w:top w:val="double" w:sz="4" w:space="0" w:color="auto"/>
              <w:left w:val="single" w:sz="4" w:space="0" w:color="auto"/>
              <w:bottom w:val="single" w:sz="4" w:space="0" w:color="auto"/>
              <w:right w:val="single" w:sz="4" w:space="0" w:color="auto"/>
            </w:tcBorders>
          </w:tcPr>
          <w:p w:rsidR="00D00BAD" w:rsidRPr="00D24DC6" w:rsidRDefault="00D00BAD" w:rsidP="00714F39">
            <w:pPr>
              <w:spacing w:before="120" w:after="120"/>
              <w:rPr>
                <w:rFonts w:ascii="Book Antiqua" w:hAnsi="Book Antiqua"/>
                <w:sz w:val="20"/>
                <w:szCs w:val="20"/>
              </w:rPr>
            </w:pPr>
            <w:r w:rsidRPr="00D24DC6">
              <w:rPr>
                <w:rFonts w:ascii="Book Antiqua" w:hAnsi="Book Antiqua"/>
                <w:sz w:val="20"/>
                <w:szCs w:val="20"/>
              </w:rPr>
              <w:t>Number of the research workers per million inhabitants</w:t>
            </w:r>
          </w:p>
        </w:tc>
        <w:tc>
          <w:tcPr>
            <w:tcW w:w="10350" w:type="dxa"/>
            <w:gridSpan w:val="3"/>
            <w:tcBorders>
              <w:top w:val="double" w:sz="4" w:space="0" w:color="auto"/>
              <w:left w:val="single" w:sz="4" w:space="0" w:color="auto"/>
              <w:bottom w:val="single" w:sz="4" w:space="0" w:color="auto"/>
              <w:right w:val="single" w:sz="4" w:space="0" w:color="auto"/>
            </w:tcBorders>
          </w:tcPr>
          <w:p w:rsidR="00D00BAD" w:rsidRPr="00D24DC6" w:rsidRDefault="00D00BAD" w:rsidP="00D00BAD">
            <w:pPr>
              <w:spacing w:before="120" w:after="120"/>
              <w:rPr>
                <w:rFonts w:ascii="Book Antiqua" w:hAnsi="Book Antiqua"/>
                <w:sz w:val="20"/>
                <w:szCs w:val="20"/>
              </w:rPr>
            </w:pPr>
            <w:r>
              <w:rPr>
                <w:rFonts w:ascii="Book Antiqua" w:hAnsi="Book Antiqua"/>
                <w:sz w:val="20"/>
                <w:szCs w:val="20"/>
              </w:rPr>
              <w:t xml:space="preserve">See notes of UNESCO Institute of Statistics provided separately. </w:t>
            </w:r>
          </w:p>
        </w:tc>
      </w:tr>
      <w:tr w:rsidR="00A12FA4" w:rsidRPr="00D24DC6" w:rsidTr="003A5E9C">
        <w:tc>
          <w:tcPr>
            <w:tcW w:w="720" w:type="dxa"/>
            <w:tcBorders>
              <w:top w:val="single" w:sz="4" w:space="0" w:color="auto"/>
              <w:left w:val="single" w:sz="4" w:space="0" w:color="auto"/>
              <w:bottom w:val="double" w:sz="4" w:space="0" w:color="auto"/>
              <w:right w:val="single" w:sz="4" w:space="0" w:color="auto"/>
            </w:tcBorders>
          </w:tcPr>
          <w:p w:rsidR="00A12FA4" w:rsidRPr="00D24DC6" w:rsidRDefault="00A12FA4" w:rsidP="00DC41DA">
            <w:pPr>
              <w:spacing w:before="120" w:after="120"/>
              <w:jc w:val="center"/>
              <w:rPr>
                <w:rFonts w:ascii="Book Antiqua" w:hAnsi="Book Antiqua"/>
                <w:sz w:val="20"/>
                <w:szCs w:val="20"/>
              </w:rPr>
            </w:pPr>
            <w:r w:rsidRPr="00D24DC6">
              <w:rPr>
                <w:rFonts w:ascii="Book Antiqua" w:hAnsi="Book Antiqua"/>
                <w:sz w:val="20"/>
                <w:szCs w:val="20"/>
              </w:rPr>
              <w:t>9.5.2</w:t>
            </w:r>
          </w:p>
        </w:tc>
        <w:tc>
          <w:tcPr>
            <w:tcW w:w="2250" w:type="dxa"/>
            <w:tcBorders>
              <w:top w:val="single" w:sz="4" w:space="0" w:color="auto"/>
              <w:left w:val="single" w:sz="4" w:space="0" w:color="auto"/>
              <w:bottom w:val="double" w:sz="4" w:space="0" w:color="auto"/>
              <w:right w:val="single" w:sz="4" w:space="0" w:color="auto"/>
            </w:tcBorders>
          </w:tcPr>
          <w:p w:rsidR="00A12FA4" w:rsidRPr="00D24DC6" w:rsidRDefault="00A12FA4" w:rsidP="007543DF">
            <w:pPr>
              <w:spacing w:before="120" w:after="120"/>
              <w:rPr>
                <w:rFonts w:ascii="Book Antiqua" w:hAnsi="Book Antiqua"/>
                <w:sz w:val="20"/>
                <w:szCs w:val="20"/>
              </w:rPr>
            </w:pPr>
            <w:r w:rsidRPr="00A12FA4">
              <w:rPr>
                <w:rFonts w:ascii="Book Antiqua" w:hAnsi="Book Antiqua"/>
                <w:sz w:val="20"/>
                <w:szCs w:val="20"/>
              </w:rPr>
              <w:t>R&amp;D expenditure as percentage of GDP</w:t>
            </w:r>
          </w:p>
        </w:tc>
        <w:tc>
          <w:tcPr>
            <w:tcW w:w="10350" w:type="dxa"/>
            <w:gridSpan w:val="3"/>
            <w:tcBorders>
              <w:top w:val="single" w:sz="4" w:space="0" w:color="auto"/>
              <w:left w:val="single" w:sz="4" w:space="0" w:color="auto"/>
              <w:bottom w:val="double" w:sz="4" w:space="0" w:color="auto"/>
              <w:right w:val="single" w:sz="4" w:space="0" w:color="auto"/>
            </w:tcBorders>
          </w:tcPr>
          <w:p w:rsidR="00A12FA4" w:rsidRPr="00D24DC6" w:rsidRDefault="00A12FA4" w:rsidP="00EF6099">
            <w:pPr>
              <w:spacing w:before="120" w:after="120"/>
              <w:rPr>
                <w:rFonts w:ascii="Book Antiqua" w:hAnsi="Book Antiqua"/>
                <w:sz w:val="20"/>
                <w:szCs w:val="20"/>
              </w:rPr>
            </w:pPr>
            <w:r>
              <w:rPr>
                <w:rFonts w:ascii="Book Antiqua" w:hAnsi="Book Antiqua"/>
                <w:sz w:val="20"/>
                <w:szCs w:val="20"/>
              </w:rPr>
              <w:t>See notes of UNESCO Institute of Statistics provided separately.</w:t>
            </w:r>
          </w:p>
        </w:tc>
      </w:tr>
    </w:tbl>
    <w:p w:rsidR="00B75C16" w:rsidRPr="00D24DC6" w:rsidRDefault="00B75C16" w:rsidP="001A11E2">
      <w:pPr>
        <w:spacing w:before="120" w:after="120"/>
        <w:jc w:val="center"/>
        <w:rPr>
          <w:rFonts w:ascii="Book Antiqua" w:hAnsi="Book Antiqua"/>
          <w:b/>
          <w:sz w:val="24"/>
          <w:szCs w:val="24"/>
        </w:rPr>
      </w:pPr>
    </w:p>
    <w:tbl>
      <w:tblPr>
        <w:tblStyle w:val="TableGrid"/>
        <w:tblW w:w="13248" w:type="dxa"/>
        <w:tblLayout w:type="fixed"/>
        <w:tblLook w:val="04A0" w:firstRow="1" w:lastRow="0" w:firstColumn="1" w:lastColumn="0" w:noHBand="0" w:noVBand="1"/>
      </w:tblPr>
      <w:tblGrid>
        <w:gridCol w:w="738"/>
        <w:gridCol w:w="2070"/>
        <w:gridCol w:w="3780"/>
        <w:gridCol w:w="2700"/>
        <w:gridCol w:w="3960"/>
      </w:tblGrid>
      <w:tr w:rsidR="008446D3" w:rsidRPr="00D24DC6" w:rsidTr="00D00BAD">
        <w:tc>
          <w:tcPr>
            <w:tcW w:w="738" w:type="dxa"/>
            <w:tcBorders>
              <w:top w:val="double" w:sz="4" w:space="0" w:color="auto"/>
              <w:left w:val="single" w:sz="4" w:space="0" w:color="auto"/>
              <w:bottom w:val="single" w:sz="4" w:space="0" w:color="auto"/>
              <w:right w:val="single" w:sz="4" w:space="0" w:color="auto"/>
            </w:tcBorders>
          </w:tcPr>
          <w:p w:rsidR="008446D3" w:rsidRPr="00D24DC6" w:rsidRDefault="008446D3" w:rsidP="002362B3">
            <w:pPr>
              <w:spacing w:before="120" w:after="120"/>
              <w:jc w:val="center"/>
              <w:rPr>
                <w:rFonts w:ascii="Book Antiqua" w:hAnsi="Book Antiqua"/>
                <w:sz w:val="20"/>
                <w:szCs w:val="20"/>
              </w:rPr>
            </w:pPr>
            <w:r w:rsidRPr="00D24DC6">
              <w:rPr>
                <w:rFonts w:ascii="Book Antiqua" w:hAnsi="Book Antiqua"/>
                <w:sz w:val="20"/>
                <w:szCs w:val="20"/>
              </w:rPr>
              <w:t>9.a.1</w:t>
            </w:r>
          </w:p>
        </w:tc>
        <w:tc>
          <w:tcPr>
            <w:tcW w:w="2070" w:type="dxa"/>
            <w:tcBorders>
              <w:top w:val="doub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Amount of investment in infrastructure</w:t>
            </w:r>
          </w:p>
        </w:tc>
        <w:tc>
          <w:tcPr>
            <w:tcW w:w="3780" w:type="dxa"/>
            <w:tcBorders>
              <w:top w:val="double" w:sz="4" w:space="0" w:color="auto"/>
              <w:left w:val="single" w:sz="4" w:space="0" w:color="auto"/>
              <w:bottom w:val="single" w:sz="4" w:space="0" w:color="auto"/>
              <w:right w:val="single" w:sz="4" w:space="0" w:color="auto"/>
            </w:tcBorders>
          </w:tcPr>
          <w:p w:rsidR="008446D3" w:rsidRPr="00D24DC6" w:rsidRDefault="008446D3" w:rsidP="002362B3">
            <w:pPr>
              <w:spacing w:before="120" w:after="120"/>
              <w:rPr>
                <w:rFonts w:ascii="Book Antiqua" w:hAnsi="Book Antiqua"/>
                <w:sz w:val="20"/>
                <w:szCs w:val="20"/>
              </w:rPr>
            </w:pPr>
            <w:r w:rsidRPr="00D24DC6">
              <w:rPr>
                <w:rFonts w:ascii="Book Antiqua" w:hAnsi="Book Antiqua"/>
                <w:sz w:val="20"/>
                <w:szCs w:val="20"/>
              </w:rPr>
              <w:t xml:space="preserve">Infrastructure here refers to housing, water, sanitation, transport and communication. Total amount of investment in these sectors indicate the SDG implementation with respect to infrastructure.  </w:t>
            </w:r>
          </w:p>
        </w:tc>
        <w:tc>
          <w:tcPr>
            <w:tcW w:w="2700" w:type="dxa"/>
            <w:tcBorders>
              <w:top w:val="double" w:sz="4" w:space="0" w:color="auto"/>
              <w:left w:val="single" w:sz="4" w:space="0" w:color="auto"/>
              <w:bottom w:val="single" w:sz="4" w:space="0" w:color="auto"/>
              <w:right w:val="single" w:sz="4" w:space="0" w:color="auto"/>
            </w:tcBorders>
          </w:tcPr>
          <w:p w:rsidR="008446D3" w:rsidRPr="00D24DC6" w:rsidRDefault="008446D3" w:rsidP="00752C88">
            <w:pPr>
              <w:spacing w:before="120" w:after="120"/>
              <w:rPr>
                <w:rFonts w:ascii="Book Antiqua" w:hAnsi="Book Antiqua"/>
                <w:sz w:val="20"/>
                <w:szCs w:val="20"/>
              </w:rPr>
            </w:pPr>
            <w:r w:rsidRPr="00D24DC6">
              <w:rPr>
                <w:rFonts w:ascii="Book Antiqua" w:hAnsi="Book Antiqua"/>
                <w:sz w:val="20"/>
                <w:szCs w:val="20"/>
              </w:rPr>
              <w:t xml:space="preserve">Total investment directed to the construction of infrastructure facilities </w:t>
            </w:r>
          </w:p>
        </w:tc>
        <w:tc>
          <w:tcPr>
            <w:tcW w:w="3960" w:type="dxa"/>
            <w:tcBorders>
              <w:top w:val="double" w:sz="4" w:space="0" w:color="auto"/>
              <w:left w:val="single" w:sz="4" w:space="0" w:color="auto"/>
              <w:bottom w:val="single" w:sz="4" w:space="0" w:color="auto"/>
              <w:right w:val="single" w:sz="4" w:space="0" w:color="auto"/>
            </w:tcBorders>
          </w:tcPr>
          <w:p w:rsidR="008446D3" w:rsidRPr="00D24DC6" w:rsidRDefault="008446D3" w:rsidP="00752C88">
            <w:pPr>
              <w:spacing w:before="120" w:after="120"/>
              <w:rPr>
                <w:rFonts w:ascii="Book Antiqua" w:hAnsi="Book Antiqua"/>
                <w:sz w:val="20"/>
                <w:szCs w:val="20"/>
              </w:rPr>
            </w:pPr>
            <w:r w:rsidRPr="00D24DC6">
              <w:rPr>
                <w:rFonts w:ascii="Book Antiqua" w:hAnsi="Book Antiqua"/>
                <w:sz w:val="20"/>
                <w:szCs w:val="20"/>
              </w:rPr>
              <w:t xml:space="preserve">Data are to obtained from the administrative sources such as government accounts and </w:t>
            </w:r>
          </w:p>
        </w:tc>
      </w:tr>
      <w:tr w:rsidR="008446D3" w:rsidRPr="00D24DC6" w:rsidTr="00D00BAD">
        <w:tc>
          <w:tcPr>
            <w:tcW w:w="738" w:type="dxa"/>
            <w:tcBorders>
              <w:top w:val="single" w:sz="4" w:space="0" w:color="auto"/>
              <w:left w:val="single" w:sz="4" w:space="0" w:color="auto"/>
              <w:bottom w:val="double" w:sz="4" w:space="0" w:color="auto"/>
              <w:right w:val="single" w:sz="4" w:space="0" w:color="auto"/>
            </w:tcBorders>
          </w:tcPr>
          <w:p w:rsidR="008446D3" w:rsidRPr="00D24DC6" w:rsidRDefault="008446D3" w:rsidP="002362B3">
            <w:pPr>
              <w:spacing w:before="120" w:after="120"/>
              <w:jc w:val="center"/>
              <w:rPr>
                <w:rFonts w:ascii="Book Antiqua" w:hAnsi="Book Antiqua"/>
                <w:sz w:val="20"/>
                <w:szCs w:val="20"/>
              </w:rPr>
            </w:pPr>
            <w:r w:rsidRPr="00D24DC6">
              <w:rPr>
                <w:rFonts w:ascii="Book Antiqua" w:hAnsi="Book Antiqua"/>
                <w:sz w:val="20"/>
                <w:szCs w:val="20"/>
              </w:rPr>
              <w:t>9.a.2</w:t>
            </w:r>
          </w:p>
        </w:tc>
        <w:tc>
          <w:tcPr>
            <w:tcW w:w="2070" w:type="dxa"/>
            <w:tcBorders>
              <w:top w:val="single" w:sz="4" w:space="0" w:color="auto"/>
              <w:left w:val="single" w:sz="4" w:space="0" w:color="auto"/>
              <w:bottom w:val="double" w:sz="4" w:space="0" w:color="auto"/>
              <w:right w:val="single" w:sz="4" w:space="0" w:color="auto"/>
            </w:tcBorders>
          </w:tcPr>
          <w:p w:rsidR="008446D3" w:rsidRPr="00D24DC6" w:rsidRDefault="008446D3" w:rsidP="00EF40F2">
            <w:pPr>
              <w:spacing w:before="120" w:after="120"/>
              <w:rPr>
                <w:rFonts w:ascii="Book Antiqua" w:hAnsi="Book Antiqua"/>
                <w:sz w:val="20"/>
                <w:szCs w:val="20"/>
              </w:rPr>
            </w:pPr>
            <w:r w:rsidRPr="00D24DC6">
              <w:rPr>
                <w:rFonts w:ascii="Book Antiqua" w:hAnsi="Book Antiqua"/>
                <w:sz w:val="20"/>
                <w:szCs w:val="20"/>
              </w:rPr>
              <w:t>Annual credit flow to infrastructure projects</w:t>
            </w:r>
          </w:p>
        </w:tc>
        <w:tc>
          <w:tcPr>
            <w:tcW w:w="3780" w:type="dxa"/>
            <w:tcBorders>
              <w:top w:val="single" w:sz="4" w:space="0" w:color="auto"/>
              <w:left w:val="single" w:sz="4" w:space="0" w:color="auto"/>
              <w:bottom w:val="doub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 xml:space="preserve">It refers to credit issued by financial institutions to infrastructure related projects </w:t>
            </w:r>
          </w:p>
        </w:tc>
        <w:tc>
          <w:tcPr>
            <w:tcW w:w="2700" w:type="dxa"/>
            <w:tcBorders>
              <w:top w:val="single" w:sz="4" w:space="0" w:color="auto"/>
              <w:left w:val="single" w:sz="4" w:space="0" w:color="auto"/>
              <w:bottom w:val="doub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Sum of credit amount in reference year</w:t>
            </w:r>
          </w:p>
        </w:tc>
        <w:tc>
          <w:tcPr>
            <w:tcW w:w="3960" w:type="dxa"/>
            <w:tcBorders>
              <w:top w:val="single" w:sz="4" w:space="0" w:color="auto"/>
              <w:left w:val="single" w:sz="4" w:space="0" w:color="auto"/>
              <w:bottom w:val="doub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Central and commercial bank data</w:t>
            </w:r>
          </w:p>
        </w:tc>
      </w:tr>
      <w:tr w:rsidR="008446D3" w:rsidRPr="00D24DC6" w:rsidTr="00D00BAD">
        <w:tc>
          <w:tcPr>
            <w:tcW w:w="738" w:type="dxa"/>
            <w:tcBorders>
              <w:top w:val="single" w:sz="4" w:space="0" w:color="auto"/>
              <w:left w:val="single" w:sz="4" w:space="0" w:color="auto"/>
              <w:bottom w:val="single" w:sz="4" w:space="0" w:color="auto"/>
              <w:right w:val="single" w:sz="4" w:space="0" w:color="auto"/>
            </w:tcBorders>
          </w:tcPr>
          <w:p w:rsidR="008446D3" w:rsidRPr="00D24DC6" w:rsidRDefault="008446D3" w:rsidP="00C53E9A">
            <w:pPr>
              <w:spacing w:before="120" w:after="120"/>
              <w:jc w:val="center"/>
              <w:rPr>
                <w:rFonts w:ascii="Book Antiqua" w:hAnsi="Book Antiqua"/>
                <w:sz w:val="20"/>
                <w:szCs w:val="20"/>
              </w:rPr>
            </w:pPr>
            <w:r w:rsidRPr="00D24DC6">
              <w:rPr>
                <w:rFonts w:ascii="Book Antiqua" w:hAnsi="Book Antiqua"/>
                <w:sz w:val="20"/>
                <w:szCs w:val="20"/>
              </w:rPr>
              <w:t>9.b.1</w:t>
            </w:r>
          </w:p>
        </w:tc>
        <w:tc>
          <w:tcPr>
            <w:tcW w:w="2070" w:type="dxa"/>
            <w:tcBorders>
              <w:top w:val="sing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Share of medium high and high-tech (MHT) industry in total value added</w:t>
            </w:r>
          </w:p>
        </w:tc>
        <w:tc>
          <w:tcPr>
            <w:tcW w:w="3780" w:type="dxa"/>
            <w:tcBorders>
              <w:top w:val="sing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 xml:space="preserve">MHT is defined by the R&amp;D intake in manufacturing output. This indicator captures the innovation and technology endowment in manufacturing. It reveals the level of production technology in manufacturing of an economy, which makes it highly policy relevant indicator.  </w:t>
            </w:r>
          </w:p>
        </w:tc>
        <w:tc>
          <w:tcPr>
            <w:tcW w:w="2700" w:type="dxa"/>
            <w:tcBorders>
              <w:top w:val="sing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Sum of the value added of MHT sectors is presented in relation to the total value added. MHT sectors are defined at 3-digit level of ISIC</w:t>
            </w:r>
          </w:p>
        </w:tc>
        <w:tc>
          <w:tcPr>
            <w:tcW w:w="3960" w:type="dxa"/>
            <w:tcBorders>
              <w:top w:val="sing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Data are available from the annual industrial survey. INDSTAT database of UNIDO contains time series data for more than 170 countries.</w:t>
            </w:r>
          </w:p>
        </w:tc>
      </w:tr>
      <w:tr w:rsidR="008446D3" w:rsidRPr="00D24DC6" w:rsidTr="00D00BAD">
        <w:tc>
          <w:tcPr>
            <w:tcW w:w="738" w:type="dxa"/>
            <w:tcBorders>
              <w:top w:val="single" w:sz="4" w:space="0" w:color="auto"/>
              <w:left w:val="single" w:sz="4" w:space="0" w:color="auto"/>
              <w:bottom w:val="single" w:sz="4" w:space="0" w:color="auto"/>
              <w:right w:val="single" w:sz="4" w:space="0" w:color="auto"/>
            </w:tcBorders>
          </w:tcPr>
          <w:p w:rsidR="008446D3" w:rsidRPr="00D24DC6" w:rsidRDefault="008446D3" w:rsidP="002362B3">
            <w:pPr>
              <w:spacing w:before="120" w:after="120"/>
              <w:jc w:val="center"/>
              <w:rPr>
                <w:rFonts w:ascii="Book Antiqua" w:hAnsi="Book Antiqua"/>
                <w:sz w:val="20"/>
                <w:szCs w:val="20"/>
              </w:rPr>
            </w:pPr>
            <w:r w:rsidRPr="00D24DC6">
              <w:rPr>
                <w:rFonts w:ascii="Book Antiqua" w:hAnsi="Book Antiqua"/>
                <w:sz w:val="20"/>
                <w:szCs w:val="20"/>
              </w:rPr>
              <w:t>9.b.2</w:t>
            </w:r>
          </w:p>
        </w:tc>
        <w:tc>
          <w:tcPr>
            <w:tcW w:w="2070" w:type="dxa"/>
            <w:tcBorders>
              <w:top w:val="single" w:sz="4" w:space="0" w:color="auto"/>
              <w:left w:val="single" w:sz="4" w:space="0" w:color="auto"/>
              <w:bottom w:val="single" w:sz="4" w:space="0" w:color="auto"/>
              <w:right w:val="single" w:sz="4" w:space="0" w:color="auto"/>
            </w:tcBorders>
          </w:tcPr>
          <w:p w:rsidR="008446D3" w:rsidRPr="00D24DC6" w:rsidRDefault="008446D3" w:rsidP="00EF40F2">
            <w:pPr>
              <w:spacing w:before="120" w:after="120"/>
              <w:rPr>
                <w:rFonts w:ascii="Book Antiqua" w:hAnsi="Book Antiqua"/>
                <w:sz w:val="20"/>
                <w:szCs w:val="20"/>
              </w:rPr>
            </w:pPr>
            <w:r w:rsidRPr="00D24DC6">
              <w:rPr>
                <w:rFonts w:ascii="Book Antiqua" w:hAnsi="Book Antiqua"/>
                <w:sz w:val="20"/>
                <w:szCs w:val="20"/>
              </w:rPr>
              <w:t xml:space="preserve">Coefficient of industrial diversification </w:t>
            </w:r>
          </w:p>
        </w:tc>
        <w:tc>
          <w:tcPr>
            <w:tcW w:w="3780" w:type="dxa"/>
            <w:tcBorders>
              <w:top w:val="sing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It shows the extent to which production is spread across different manufacturing industries. It equals zero if the value of output is concentrated in one industry and 1 if all industries have equal value, or perfect diversification</w:t>
            </w:r>
          </w:p>
        </w:tc>
        <w:tc>
          <w:tcPr>
            <w:tcW w:w="2700" w:type="dxa"/>
            <w:tcBorders>
              <w:top w:val="sing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The coefficient</w:t>
            </w:r>
            <w:r w:rsidRPr="00D24DC6">
              <w:rPr>
                <w:rStyle w:val="FootnoteReference"/>
                <w:rFonts w:ascii="Book Antiqua" w:hAnsi="Book Antiqua"/>
                <w:sz w:val="20"/>
                <w:szCs w:val="20"/>
              </w:rPr>
              <w:footnoteReference w:id="2"/>
            </w:r>
            <w:r w:rsidRPr="00D24DC6">
              <w:rPr>
                <w:rFonts w:ascii="Book Antiqua" w:hAnsi="Book Antiqua"/>
                <w:sz w:val="20"/>
                <w:szCs w:val="20"/>
              </w:rPr>
              <w:t xml:space="preserve"> is compiled from the share of industry value added (2-digit level of ISIC) in total. </w:t>
            </w:r>
          </w:p>
        </w:tc>
        <w:tc>
          <w:tcPr>
            <w:tcW w:w="3960" w:type="dxa"/>
            <w:tcBorders>
              <w:top w:val="single" w:sz="4" w:space="0" w:color="auto"/>
              <w:left w:val="single" w:sz="4" w:space="0" w:color="auto"/>
              <w:bottom w:val="single" w:sz="4" w:space="0" w:color="auto"/>
              <w:right w:val="single" w:sz="4" w:space="0" w:color="auto"/>
            </w:tcBorders>
          </w:tcPr>
          <w:p w:rsidR="008446D3" w:rsidRPr="00D24DC6" w:rsidRDefault="008446D3" w:rsidP="00DC1F69">
            <w:pPr>
              <w:spacing w:before="120" w:after="120"/>
              <w:rPr>
                <w:rFonts w:ascii="Book Antiqua" w:hAnsi="Book Antiqua"/>
                <w:sz w:val="20"/>
                <w:szCs w:val="20"/>
              </w:rPr>
            </w:pPr>
            <w:r w:rsidRPr="00D24DC6">
              <w:rPr>
                <w:rFonts w:ascii="Book Antiqua" w:hAnsi="Book Antiqua"/>
                <w:sz w:val="20"/>
                <w:szCs w:val="20"/>
              </w:rPr>
              <w:t>Data are available from the annual industrial survey. INDSTAT database of UNIDO contains time series data for more than 170 countries.</w:t>
            </w:r>
          </w:p>
        </w:tc>
      </w:tr>
      <w:tr w:rsidR="00D00BAD" w:rsidRPr="00D24DC6" w:rsidTr="003D4D86">
        <w:tc>
          <w:tcPr>
            <w:tcW w:w="738" w:type="dxa"/>
            <w:tcBorders>
              <w:top w:val="single" w:sz="4" w:space="0" w:color="auto"/>
              <w:left w:val="single" w:sz="4" w:space="0" w:color="auto"/>
              <w:bottom w:val="single" w:sz="4" w:space="0" w:color="auto"/>
              <w:right w:val="single" w:sz="4" w:space="0" w:color="auto"/>
            </w:tcBorders>
          </w:tcPr>
          <w:p w:rsidR="00D00BAD" w:rsidRPr="00D24DC6" w:rsidRDefault="00D00BAD" w:rsidP="002362B3">
            <w:pPr>
              <w:spacing w:before="120" w:after="120"/>
              <w:jc w:val="center"/>
              <w:rPr>
                <w:rFonts w:ascii="Book Antiqua" w:hAnsi="Book Antiqua"/>
                <w:sz w:val="20"/>
                <w:szCs w:val="20"/>
              </w:rPr>
            </w:pPr>
            <w:r w:rsidRPr="00D24DC6">
              <w:rPr>
                <w:rFonts w:ascii="Book Antiqua" w:hAnsi="Book Antiqua"/>
                <w:sz w:val="20"/>
                <w:szCs w:val="20"/>
              </w:rPr>
              <w:lastRenderedPageBreak/>
              <w:t>9.c.1</w:t>
            </w:r>
          </w:p>
        </w:tc>
        <w:tc>
          <w:tcPr>
            <w:tcW w:w="2070" w:type="dxa"/>
            <w:tcBorders>
              <w:top w:val="single" w:sz="4" w:space="0" w:color="auto"/>
              <w:left w:val="single" w:sz="4" w:space="0" w:color="auto"/>
              <w:bottom w:val="single" w:sz="4" w:space="0" w:color="auto"/>
              <w:right w:val="single" w:sz="4" w:space="0" w:color="auto"/>
            </w:tcBorders>
          </w:tcPr>
          <w:p w:rsidR="00D00BAD" w:rsidRPr="00D00BAD" w:rsidRDefault="00D00BAD" w:rsidP="00C06C23">
            <w:pPr>
              <w:rPr>
                <w:rFonts w:ascii="Book Antiqua" w:hAnsi="Book Antiqua"/>
                <w:sz w:val="20"/>
                <w:szCs w:val="20"/>
              </w:rPr>
            </w:pPr>
            <w:r w:rsidRPr="00D00BAD">
              <w:rPr>
                <w:rFonts w:ascii="Book Antiqua" w:hAnsi="Book Antiqua"/>
                <w:sz w:val="20"/>
                <w:szCs w:val="20"/>
              </w:rPr>
              <w:t>Broadband Internet prices</w:t>
            </w:r>
          </w:p>
        </w:tc>
        <w:tc>
          <w:tcPr>
            <w:tcW w:w="10440" w:type="dxa"/>
            <w:gridSpan w:val="3"/>
            <w:tcBorders>
              <w:top w:val="single" w:sz="4" w:space="0" w:color="auto"/>
              <w:left w:val="single" w:sz="4" w:space="0" w:color="auto"/>
              <w:bottom w:val="single" w:sz="4" w:space="0" w:color="auto"/>
              <w:right w:val="single" w:sz="4" w:space="0" w:color="auto"/>
            </w:tcBorders>
          </w:tcPr>
          <w:p w:rsidR="00D00BAD" w:rsidRPr="00D24DC6" w:rsidRDefault="00D00BAD" w:rsidP="00DC1F69">
            <w:pPr>
              <w:spacing w:before="120" w:after="120"/>
              <w:rPr>
                <w:rFonts w:ascii="Book Antiqua" w:hAnsi="Book Antiqua"/>
                <w:sz w:val="20"/>
                <w:szCs w:val="20"/>
              </w:rPr>
            </w:pPr>
            <w:r w:rsidRPr="00F573E8">
              <w:rPr>
                <w:rFonts w:ascii="Book Antiqua" w:hAnsi="Book Antiqua"/>
                <w:b/>
                <w:sz w:val="18"/>
                <w:szCs w:val="18"/>
              </w:rPr>
              <w:t>See ITU Notes provided separately.</w:t>
            </w:r>
          </w:p>
        </w:tc>
      </w:tr>
      <w:tr w:rsidR="00D00BAD" w:rsidRPr="00D24DC6" w:rsidTr="00F175C1">
        <w:tc>
          <w:tcPr>
            <w:tcW w:w="738" w:type="dxa"/>
            <w:tcBorders>
              <w:top w:val="single" w:sz="4" w:space="0" w:color="auto"/>
              <w:left w:val="single" w:sz="4" w:space="0" w:color="auto"/>
              <w:bottom w:val="double" w:sz="4" w:space="0" w:color="auto"/>
              <w:right w:val="single" w:sz="4" w:space="0" w:color="auto"/>
            </w:tcBorders>
          </w:tcPr>
          <w:p w:rsidR="00D00BAD" w:rsidRPr="00D24DC6" w:rsidRDefault="00D00BAD" w:rsidP="002362B3">
            <w:pPr>
              <w:spacing w:before="120" w:after="120"/>
              <w:jc w:val="center"/>
              <w:rPr>
                <w:rFonts w:ascii="Book Antiqua" w:hAnsi="Book Antiqua"/>
                <w:sz w:val="20"/>
                <w:szCs w:val="20"/>
              </w:rPr>
            </w:pPr>
            <w:r w:rsidRPr="00D24DC6">
              <w:rPr>
                <w:rFonts w:ascii="Book Antiqua" w:hAnsi="Book Antiqua"/>
                <w:sz w:val="20"/>
                <w:szCs w:val="20"/>
              </w:rPr>
              <w:t>9.c.2</w:t>
            </w:r>
          </w:p>
        </w:tc>
        <w:tc>
          <w:tcPr>
            <w:tcW w:w="2070" w:type="dxa"/>
            <w:tcBorders>
              <w:top w:val="single" w:sz="4" w:space="0" w:color="auto"/>
              <w:left w:val="single" w:sz="4" w:space="0" w:color="auto"/>
              <w:bottom w:val="double" w:sz="4" w:space="0" w:color="auto"/>
              <w:right w:val="single" w:sz="4" w:space="0" w:color="auto"/>
            </w:tcBorders>
          </w:tcPr>
          <w:p w:rsidR="00D00BAD" w:rsidRPr="00D00BAD" w:rsidRDefault="00D00BAD" w:rsidP="00C53E9A">
            <w:pPr>
              <w:rPr>
                <w:rFonts w:ascii="Book Antiqua" w:hAnsi="Book Antiqua"/>
                <w:sz w:val="20"/>
                <w:szCs w:val="20"/>
              </w:rPr>
            </w:pPr>
            <w:r w:rsidRPr="00D00BAD">
              <w:rPr>
                <w:rFonts w:ascii="Book Antiqua" w:hAnsi="Book Antiqua"/>
                <w:sz w:val="20"/>
                <w:szCs w:val="20"/>
              </w:rPr>
              <w:t>Percentage of the population covered by a mobile broadband network, broken down by technology</w:t>
            </w:r>
          </w:p>
        </w:tc>
        <w:tc>
          <w:tcPr>
            <w:tcW w:w="10440" w:type="dxa"/>
            <w:gridSpan w:val="3"/>
            <w:tcBorders>
              <w:top w:val="single" w:sz="4" w:space="0" w:color="auto"/>
              <w:left w:val="single" w:sz="4" w:space="0" w:color="auto"/>
              <w:bottom w:val="double" w:sz="4" w:space="0" w:color="auto"/>
              <w:right w:val="single" w:sz="4" w:space="0" w:color="auto"/>
            </w:tcBorders>
          </w:tcPr>
          <w:p w:rsidR="00D00BAD" w:rsidRPr="00D24DC6" w:rsidRDefault="00D00BAD" w:rsidP="00DC1F69">
            <w:pPr>
              <w:spacing w:before="120" w:after="120"/>
              <w:rPr>
                <w:rFonts w:ascii="Book Antiqua" w:hAnsi="Book Antiqua"/>
                <w:sz w:val="20"/>
                <w:szCs w:val="20"/>
              </w:rPr>
            </w:pPr>
            <w:r w:rsidRPr="00F573E8">
              <w:rPr>
                <w:rFonts w:ascii="Book Antiqua" w:hAnsi="Book Antiqua"/>
                <w:b/>
                <w:sz w:val="18"/>
                <w:szCs w:val="18"/>
              </w:rPr>
              <w:t>See ITU Notes provided separately.</w:t>
            </w:r>
          </w:p>
        </w:tc>
      </w:tr>
    </w:tbl>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jc w:val="center"/>
        <w:rPr>
          <w:rFonts w:ascii="Book Antiqua" w:hAnsi="Book Antiqua"/>
          <w:b/>
          <w:sz w:val="24"/>
          <w:szCs w:val="24"/>
        </w:rPr>
      </w:pPr>
    </w:p>
    <w:p w:rsidR="001A11E2" w:rsidRPr="00D24DC6" w:rsidRDefault="001A11E2" w:rsidP="001A11E2">
      <w:pPr>
        <w:spacing w:before="120" w:after="120"/>
        <w:rPr>
          <w:rFonts w:ascii="Book Antiqua" w:hAnsi="Book Antiqua"/>
          <w:sz w:val="24"/>
          <w:szCs w:val="24"/>
        </w:rPr>
        <w:sectPr w:rsidR="001A11E2" w:rsidRPr="00D24DC6" w:rsidSect="00377359">
          <w:pgSz w:w="15840" w:h="12240" w:orient="landscape"/>
          <w:pgMar w:top="1350" w:right="1440" w:bottom="1080" w:left="1440" w:header="720" w:footer="720" w:gutter="0"/>
          <w:cols w:space="720"/>
          <w:docGrid w:linePitch="360"/>
        </w:sectPr>
      </w:pPr>
    </w:p>
    <w:p w:rsidR="00F05875" w:rsidRPr="00D24DC6" w:rsidRDefault="00F05875">
      <w:pPr>
        <w:rPr>
          <w:rFonts w:ascii="Book Antiqua" w:hAnsi="Book Antiqua"/>
          <w:sz w:val="24"/>
          <w:szCs w:val="24"/>
        </w:rPr>
      </w:pPr>
      <w:r w:rsidRPr="00D24DC6">
        <w:rPr>
          <w:rFonts w:ascii="Book Antiqua" w:hAnsi="Book Antiqua"/>
          <w:sz w:val="24"/>
          <w:szCs w:val="24"/>
        </w:rPr>
        <w:lastRenderedPageBreak/>
        <w:t xml:space="preserve">  </w:t>
      </w:r>
    </w:p>
    <w:sectPr w:rsidR="00F05875" w:rsidRPr="00D24DC6" w:rsidSect="001A11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2D5" w:rsidRDefault="009A02D5" w:rsidP="00E600EA">
      <w:pPr>
        <w:spacing w:after="0" w:line="240" w:lineRule="auto"/>
      </w:pPr>
      <w:r>
        <w:separator/>
      </w:r>
    </w:p>
  </w:endnote>
  <w:endnote w:type="continuationSeparator" w:id="0">
    <w:p w:rsidR="009A02D5" w:rsidRDefault="009A02D5" w:rsidP="00E60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2D5" w:rsidRDefault="009A02D5" w:rsidP="00E600EA">
      <w:pPr>
        <w:spacing w:after="0" w:line="240" w:lineRule="auto"/>
      </w:pPr>
      <w:r>
        <w:separator/>
      </w:r>
    </w:p>
  </w:footnote>
  <w:footnote w:type="continuationSeparator" w:id="0">
    <w:p w:rsidR="009A02D5" w:rsidRDefault="009A02D5" w:rsidP="00E600EA">
      <w:pPr>
        <w:spacing w:after="0" w:line="240" w:lineRule="auto"/>
      </w:pPr>
      <w:r>
        <w:continuationSeparator/>
      </w:r>
    </w:p>
  </w:footnote>
  <w:footnote w:id="1">
    <w:p w:rsidR="008446D3" w:rsidRPr="008446D3" w:rsidRDefault="008446D3">
      <w:pPr>
        <w:pStyle w:val="FootnoteText"/>
        <w:rPr>
          <w:lang w:val="en-US"/>
        </w:rPr>
      </w:pPr>
      <w:r>
        <w:rPr>
          <w:rStyle w:val="FootnoteReference"/>
        </w:rPr>
        <w:footnoteRef/>
      </w:r>
      <w:r>
        <w:t xml:space="preserve"> The </w:t>
      </w:r>
      <w:proofErr w:type="spellStart"/>
      <w:r>
        <w:t>i</w:t>
      </w:r>
      <w:r>
        <w:rPr>
          <w:lang w:val="en-US"/>
        </w:rPr>
        <w:t>ndicator</w:t>
      </w:r>
      <w:proofErr w:type="spellEnd"/>
      <w:r>
        <w:rPr>
          <w:lang w:val="en-US"/>
        </w:rPr>
        <w:t xml:space="preserve"> number refers to the Goal and Target addressed. For example Indicator 9.2.1 and 9.2.2 address Goal 9 Target 2.   </w:t>
      </w:r>
    </w:p>
  </w:footnote>
  <w:footnote w:id="2">
    <w:p w:rsidR="008446D3" w:rsidRPr="00E600EA" w:rsidRDefault="008446D3">
      <w:pPr>
        <w:pStyle w:val="FootnoteText"/>
        <w:rPr>
          <w:lang w:val="en-US"/>
        </w:rPr>
      </w:pPr>
      <w:r>
        <w:rPr>
          <w:rStyle w:val="FootnoteReference"/>
        </w:rPr>
        <w:footnoteRef/>
      </w:r>
      <w:r>
        <w:t xml:space="preserve"> </w:t>
      </w:r>
      <w:r>
        <w:rPr>
          <w:lang w:val="en-US"/>
        </w:rPr>
        <w:t xml:space="preserve">Coefficient of diversification equals: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d</m:t>
            </m:r>
          </m:sub>
        </m:sSub>
        <m:r>
          <w:rPr>
            <w:rFonts w:ascii="Cambria Math" w:hAnsi="Cambria Math"/>
            <w:lang w:val="en-US"/>
          </w:rPr>
          <m:t>=</m:t>
        </m:r>
        <m:f>
          <m:fPr>
            <m:ctrlPr>
              <w:rPr>
                <w:rFonts w:ascii="Cambria Math" w:hAnsi="Cambria Math"/>
                <w:i/>
                <w:lang w:val="en-US"/>
              </w:rPr>
            </m:ctrlPr>
          </m:fPr>
          <m:num>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func>
                  <m:funcPr>
                    <m:ctrlPr>
                      <w:rPr>
                        <w:rFonts w:ascii="Cambria Math" w:hAnsi="Cambria Math"/>
                        <w:i/>
                        <w:lang w:val="en-US"/>
                      </w:rPr>
                    </m:ctrlPr>
                  </m:funcPr>
                  <m:fName>
                    <m:r>
                      <m:rPr>
                        <m:sty m:val="p"/>
                      </m:rPr>
                      <w:rPr>
                        <w:rFonts w:ascii="Cambria Math" w:hAnsi="Cambria Math"/>
                        <w:lang w:val="en-US"/>
                      </w:rPr>
                      <m:t>ln</m:t>
                    </m:r>
                  </m:fName>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e>
                </m:func>
              </m:e>
            </m:nary>
          </m:num>
          <m:den>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ln</m:t>
                </m:r>
              </m:fName>
              <m:e>
                <m:r>
                  <w:rPr>
                    <w:rFonts w:ascii="Cambria Math" w:hAnsi="Cambria Math"/>
                    <w:lang w:val="en-US"/>
                  </w:rPr>
                  <m:t>n</m:t>
                </m:r>
              </m:e>
            </m:func>
          </m:den>
        </m:f>
      </m:oMath>
      <w:r>
        <w:rPr>
          <w:rFonts w:eastAsiaTheme="minorEastAsia"/>
          <w:lang w:val="en-US"/>
        </w:rPr>
        <w:t xml:space="preserve"> where </w:t>
      </w:r>
      <w:r w:rsidRPr="00E600EA">
        <w:rPr>
          <w:rFonts w:eastAsiaTheme="minorEastAsia"/>
          <w:i/>
          <w:lang w:val="en-US"/>
        </w:rPr>
        <w:t>s</w:t>
      </w:r>
      <w:r w:rsidRPr="00E600EA">
        <w:rPr>
          <w:rFonts w:eastAsiaTheme="minorEastAsia"/>
          <w:i/>
          <w:vertAlign w:val="subscript"/>
          <w:lang w:val="en-US"/>
        </w:rPr>
        <w:t>i</w:t>
      </w:r>
      <w:r>
        <w:rPr>
          <w:rFonts w:eastAsiaTheme="minorEastAsia"/>
          <w:lang w:val="en-US"/>
        </w:rPr>
        <w:t xml:space="preserve"> is the share of i-th industry in total value added and n is the number of industrial sectors observed.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E465B"/>
    <w:multiLevelType w:val="hybridMultilevel"/>
    <w:tmpl w:val="95CC5F2C"/>
    <w:lvl w:ilvl="0" w:tplc="38AEB386">
      <w:start w:val="9"/>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B30469"/>
    <w:multiLevelType w:val="hybridMultilevel"/>
    <w:tmpl w:val="9CD6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E8F"/>
    <w:rsid w:val="00014A1E"/>
    <w:rsid w:val="000247E3"/>
    <w:rsid w:val="000D20FA"/>
    <w:rsid w:val="00184E1E"/>
    <w:rsid w:val="001923B6"/>
    <w:rsid w:val="001A11E2"/>
    <w:rsid w:val="002362B3"/>
    <w:rsid w:val="00370D27"/>
    <w:rsid w:val="00377359"/>
    <w:rsid w:val="004724AC"/>
    <w:rsid w:val="005028A8"/>
    <w:rsid w:val="00506FBC"/>
    <w:rsid w:val="005A6BB9"/>
    <w:rsid w:val="00620F7D"/>
    <w:rsid w:val="00682E8F"/>
    <w:rsid w:val="006A42D6"/>
    <w:rsid w:val="00714F39"/>
    <w:rsid w:val="00737328"/>
    <w:rsid w:val="00752C88"/>
    <w:rsid w:val="007543DF"/>
    <w:rsid w:val="007A1D4A"/>
    <w:rsid w:val="0084026B"/>
    <w:rsid w:val="008446D3"/>
    <w:rsid w:val="00853993"/>
    <w:rsid w:val="00925980"/>
    <w:rsid w:val="00941A32"/>
    <w:rsid w:val="009A02D5"/>
    <w:rsid w:val="009C2D0A"/>
    <w:rsid w:val="00A12FA4"/>
    <w:rsid w:val="00AF1EE9"/>
    <w:rsid w:val="00B27B1F"/>
    <w:rsid w:val="00B31F05"/>
    <w:rsid w:val="00B75C16"/>
    <w:rsid w:val="00B93231"/>
    <w:rsid w:val="00BA1BC6"/>
    <w:rsid w:val="00C06C23"/>
    <w:rsid w:val="00C53E9A"/>
    <w:rsid w:val="00C61516"/>
    <w:rsid w:val="00C76FB5"/>
    <w:rsid w:val="00D00360"/>
    <w:rsid w:val="00D00BAD"/>
    <w:rsid w:val="00D24DC6"/>
    <w:rsid w:val="00D30743"/>
    <w:rsid w:val="00D721CA"/>
    <w:rsid w:val="00D75E79"/>
    <w:rsid w:val="00E23FB1"/>
    <w:rsid w:val="00E600EA"/>
    <w:rsid w:val="00E75EC1"/>
    <w:rsid w:val="00EF40F2"/>
    <w:rsid w:val="00EF6099"/>
    <w:rsid w:val="00F05875"/>
    <w:rsid w:val="00F47EBF"/>
    <w:rsid w:val="00F573E8"/>
    <w:rsid w:val="00F806A6"/>
    <w:rsid w:val="00FA6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2E8F"/>
    <w:pPr>
      <w:ind w:left="720"/>
      <w:contextualSpacing/>
    </w:pPr>
  </w:style>
  <w:style w:type="table" w:styleId="TableGrid">
    <w:name w:val="Table Grid"/>
    <w:basedOn w:val="TableNormal"/>
    <w:uiPriority w:val="59"/>
    <w:rsid w:val="001A1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600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00EA"/>
    <w:rPr>
      <w:sz w:val="20"/>
      <w:szCs w:val="20"/>
      <w:lang w:val="en-GB"/>
    </w:rPr>
  </w:style>
  <w:style w:type="character" w:styleId="FootnoteReference">
    <w:name w:val="footnote reference"/>
    <w:basedOn w:val="DefaultParagraphFont"/>
    <w:uiPriority w:val="99"/>
    <w:semiHidden/>
    <w:unhideWhenUsed/>
    <w:rsid w:val="00E600EA"/>
    <w:rPr>
      <w:vertAlign w:val="superscript"/>
    </w:rPr>
  </w:style>
  <w:style w:type="character" w:styleId="PlaceholderText">
    <w:name w:val="Placeholder Text"/>
    <w:basedOn w:val="DefaultParagraphFont"/>
    <w:uiPriority w:val="99"/>
    <w:semiHidden/>
    <w:rsid w:val="00E600EA"/>
    <w:rPr>
      <w:color w:val="808080"/>
    </w:rPr>
  </w:style>
  <w:style w:type="paragraph" w:styleId="BalloonText">
    <w:name w:val="Balloon Text"/>
    <w:basedOn w:val="Normal"/>
    <w:link w:val="BalloonTextChar"/>
    <w:uiPriority w:val="99"/>
    <w:semiHidden/>
    <w:unhideWhenUsed/>
    <w:rsid w:val="00E60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0EA"/>
    <w:rPr>
      <w:rFonts w:ascii="Tahoma" w:hAnsi="Tahoma" w:cs="Tahoma"/>
      <w:sz w:val="16"/>
      <w:szCs w:val="16"/>
      <w:lang w:val="en-GB"/>
    </w:rPr>
  </w:style>
  <w:style w:type="character" w:styleId="Hyperlink">
    <w:name w:val="Hyperlink"/>
    <w:basedOn w:val="DefaultParagraphFont"/>
    <w:uiPriority w:val="99"/>
    <w:unhideWhenUsed/>
    <w:rsid w:val="00B27B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2E8F"/>
    <w:pPr>
      <w:ind w:left="720"/>
      <w:contextualSpacing/>
    </w:pPr>
  </w:style>
  <w:style w:type="table" w:styleId="TableGrid">
    <w:name w:val="Table Grid"/>
    <w:basedOn w:val="TableNormal"/>
    <w:uiPriority w:val="59"/>
    <w:rsid w:val="001A1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600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00EA"/>
    <w:rPr>
      <w:sz w:val="20"/>
      <w:szCs w:val="20"/>
      <w:lang w:val="en-GB"/>
    </w:rPr>
  </w:style>
  <w:style w:type="character" w:styleId="FootnoteReference">
    <w:name w:val="footnote reference"/>
    <w:basedOn w:val="DefaultParagraphFont"/>
    <w:uiPriority w:val="99"/>
    <w:semiHidden/>
    <w:unhideWhenUsed/>
    <w:rsid w:val="00E600EA"/>
    <w:rPr>
      <w:vertAlign w:val="superscript"/>
    </w:rPr>
  </w:style>
  <w:style w:type="character" w:styleId="PlaceholderText">
    <w:name w:val="Placeholder Text"/>
    <w:basedOn w:val="DefaultParagraphFont"/>
    <w:uiPriority w:val="99"/>
    <w:semiHidden/>
    <w:rsid w:val="00E600EA"/>
    <w:rPr>
      <w:color w:val="808080"/>
    </w:rPr>
  </w:style>
  <w:style w:type="paragraph" w:styleId="BalloonText">
    <w:name w:val="Balloon Text"/>
    <w:basedOn w:val="Normal"/>
    <w:link w:val="BalloonTextChar"/>
    <w:uiPriority w:val="99"/>
    <w:semiHidden/>
    <w:unhideWhenUsed/>
    <w:rsid w:val="00E60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0EA"/>
    <w:rPr>
      <w:rFonts w:ascii="Tahoma" w:hAnsi="Tahoma" w:cs="Tahoma"/>
      <w:sz w:val="16"/>
      <w:szCs w:val="16"/>
      <w:lang w:val="en-GB"/>
    </w:rPr>
  </w:style>
  <w:style w:type="character" w:styleId="Hyperlink">
    <w:name w:val="Hyperlink"/>
    <w:basedOn w:val="DefaultParagraphFont"/>
    <w:uiPriority w:val="99"/>
    <w:unhideWhenUsed/>
    <w:rsid w:val="00B27B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870688">
      <w:bodyDiv w:val="1"/>
      <w:marLeft w:val="0"/>
      <w:marRight w:val="0"/>
      <w:marTop w:val="0"/>
      <w:marBottom w:val="0"/>
      <w:divBdr>
        <w:top w:val="none" w:sz="0" w:space="0" w:color="auto"/>
        <w:left w:val="none" w:sz="0" w:space="0" w:color="auto"/>
        <w:bottom w:val="none" w:sz="0" w:space="0" w:color="auto"/>
        <w:right w:val="none" w:sz="0" w:space="0" w:color="auto"/>
      </w:divBdr>
    </w:div>
    <w:div w:id="129788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tat.unido.org/" TargetMode="External"/><Relationship Id="rId4" Type="http://schemas.microsoft.com/office/2007/relationships/stylesWithEffects" Target="stylesWithEffects.xml"/><Relationship Id="rId9" Type="http://schemas.openxmlformats.org/officeDocument/2006/relationships/hyperlink" Target="http://www.unido.org/en/resources/statistics/statistical-databas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5C5D9-3FD5-4AC9-B9AA-62668901A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UPADHYAYA, Shyam</dc:creator>
  <cp:lastModifiedBy>Benjamin Rae</cp:lastModifiedBy>
  <cp:revision>2</cp:revision>
  <cp:lastPrinted>2015-05-14T13:23:00Z</cp:lastPrinted>
  <dcterms:created xsi:type="dcterms:W3CDTF">2015-05-19T18:56:00Z</dcterms:created>
  <dcterms:modified xsi:type="dcterms:W3CDTF">2015-05-19T18:56:00Z</dcterms:modified>
</cp:coreProperties>
</file>